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20" w:type="dxa"/>
        <w:tblCellSpacing w:w="0" w:type="dxa"/>
        <w:tblCellMar>
          <w:left w:w="0" w:type="dxa"/>
          <w:right w:w="0" w:type="dxa"/>
        </w:tblCellMar>
        <w:tblLook w:val="04A0" w:firstRow="1" w:lastRow="0" w:firstColumn="1" w:lastColumn="0" w:noHBand="0" w:noVBand="1"/>
      </w:tblPr>
      <w:tblGrid>
        <w:gridCol w:w="3783"/>
        <w:gridCol w:w="6237"/>
      </w:tblGrid>
      <w:tr w:rsidR="00627880" w:rsidRPr="00BB05F7" w:rsidTr="00627880">
        <w:trPr>
          <w:tblCellSpacing w:w="0" w:type="dxa"/>
        </w:trPr>
        <w:tc>
          <w:tcPr>
            <w:tcW w:w="3783" w:type="dxa"/>
            <w:tcMar>
              <w:top w:w="0" w:type="dxa"/>
              <w:left w:w="108" w:type="dxa"/>
              <w:bottom w:w="0" w:type="dxa"/>
              <w:right w:w="108" w:type="dxa"/>
            </w:tcMar>
            <w:hideMark/>
          </w:tcPr>
          <w:p w:rsidR="00627880" w:rsidRPr="00BB05F7" w:rsidRDefault="00627880" w:rsidP="00554FD1">
            <w:pPr>
              <w:spacing w:before="120" w:after="0" w:line="234" w:lineRule="atLeast"/>
              <w:jc w:val="center"/>
              <w:rPr>
                <w:rFonts w:eastAsia="Times New Roman" w:cs="Times New Roman"/>
                <w:szCs w:val="28"/>
              </w:rPr>
            </w:pPr>
            <w:r>
              <w:rPr>
                <w:rFonts w:eastAsia="Times New Roman" w:cs="Times New Roman"/>
                <w:b/>
                <w:bCs/>
                <w:noProof/>
                <w:szCs w:val="28"/>
              </w:rPr>
              <mc:AlternateContent>
                <mc:Choice Requires="wps">
                  <w:drawing>
                    <wp:anchor distT="0" distB="0" distL="114300" distR="114300" simplePos="0" relativeHeight="251661312" behindDoc="0" locked="0" layoutInCell="1" allowOverlap="1" wp14:anchorId="52C47D10" wp14:editId="56FEBB15">
                      <wp:simplePos x="0" y="0"/>
                      <wp:positionH relativeFrom="column">
                        <wp:posOffset>373380</wp:posOffset>
                      </wp:positionH>
                      <wp:positionV relativeFrom="paragraph">
                        <wp:posOffset>280035</wp:posOffset>
                      </wp:positionV>
                      <wp:extent cx="1543050" cy="0"/>
                      <wp:effectExtent l="9525" t="9525" r="9525"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29.4pt;margin-top:22.05pt;width:12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"/>
                  </w:pict>
                </mc:Fallback>
              </mc:AlternateContent>
            </w:r>
            <w:r w:rsidRPr="00BB05F7">
              <w:rPr>
                <w:rFonts w:eastAsia="Times New Roman" w:cs="Times New Roman"/>
                <w:b/>
                <w:bCs/>
                <w:szCs w:val="28"/>
              </w:rPr>
              <w:t>THỦ TƯỚNG CHÍNH PHỦ</w:t>
            </w:r>
            <w:r w:rsidRPr="00BB05F7">
              <w:rPr>
                <w:rFonts w:eastAsia="Times New Roman" w:cs="Times New Roman"/>
                <w:b/>
                <w:bCs/>
                <w:szCs w:val="28"/>
                <w:lang w:val="vi-VN"/>
              </w:rPr>
              <w:br/>
            </w:r>
          </w:p>
        </w:tc>
        <w:tc>
          <w:tcPr>
            <w:tcW w:w="6237" w:type="dxa"/>
            <w:tcMar>
              <w:top w:w="0" w:type="dxa"/>
              <w:left w:w="108" w:type="dxa"/>
              <w:bottom w:w="0" w:type="dxa"/>
              <w:right w:w="108" w:type="dxa"/>
            </w:tcMar>
            <w:hideMark/>
          </w:tcPr>
          <w:p w:rsidR="00627880" w:rsidRPr="00BB05F7" w:rsidRDefault="00627880" w:rsidP="00554FD1">
            <w:pPr>
              <w:spacing w:before="120" w:after="0" w:line="234" w:lineRule="atLeast"/>
              <w:jc w:val="center"/>
              <w:rPr>
                <w:rFonts w:eastAsia="Times New Roman" w:cs="Times New Roman"/>
                <w:szCs w:val="28"/>
              </w:rPr>
            </w:pPr>
            <w:r>
              <w:rPr>
                <w:rFonts w:eastAsia="Times New Roman" w:cs="Times New Roman"/>
                <w:b/>
                <w:bCs/>
                <w:noProof/>
                <w:szCs w:val="28"/>
              </w:rPr>
              <mc:AlternateContent>
                <mc:Choice Requires="wps">
                  <w:drawing>
                    <wp:anchor distT="0" distB="0" distL="114300" distR="114300" simplePos="0" relativeHeight="251662336" behindDoc="0" locked="0" layoutInCell="1" allowOverlap="1" wp14:anchorId="055C0088" wp14:editId="358D0419">
                      <wp:simplePos x="0" y="0"/>
                      <wp:positionH relativeFrom="column">
                        <wp:posOffset>819150</wp:posOffset>
                      </wp:positionH>
                      <wp:positionV relativeFrom="paragraph">
                        <wp:posOffset>508635</wp:posOffset>
                      </wp:positionV>
                      <wp:extent cx="2152650" cy="0"/>
                      <wp:effectExtent l="9525" t="9525" r="9525"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64.5pt;margin-top:40.05pt;width:169.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"/>
                  </w:pict>
                </mc:Fallback>
              </mc:AlternateContent>
            </w:r>
            <w:r w:rsidRPr="00BB05F7">
              <w:rPr>
                <w:rFonts w:eastAsia="Times New Roman" w:cs="Times New Roman"/>
                <w:b/>
                <w:bCs/>
                <w:szCs w:val="28"/>
                <w:lang w:val="vi-VN"/>
              </w:rPr>
              <w:t>CỘNG HÒA XÃ HỘI CHỦ NGHĨA VIỆT NAM</w:t>
            </w:r>
            <w:r w:rsidRPr="00BB05F7">
              <w:rPr>
                <w:rFonts w:eastAsia="Times New Roman" w:cs="Times New Roman"/>
                <w:b/>
                <w:bCs/>
                <w:szCs w:val="28"/>
                <w:lang w:val="vi-VN"/>
              </w:rPr>
              <w:br/>
              <w:t>Độc lập - Tự do - Hạnh phúc</w:t>
            </w:r>
            <w:r w:rsidRPr="00BB05F7">
              <w:rPr>
                <w:rFonts w:eastAsia="Times New Roman" w:cs="Times New Roman"/>
                <w:b/>
                <w:bCs/>
                <w:szCs w:val="28"/>
                <w:lang w:val="vi-VN"/>
              </w:rPr>
              <w:br/>
            </w:r>
          </w:p>
        </w:tc>
      </w:tr>
      <w:tr w:rsidR="00627880" w:rsidRPr="00BB05F7" w:rsidTr="00627880">
        <w:trPr>
          <w:tblCellSpacing w:w="0" w:type="dxa"/>
        </w:trPr>
        <w:tc>
          <w:tcPr>
            <w:tcW w:w="3783" w:type="dxa"/>
            <w:tcMar>
              <w:top w:w="0" w:type="dxa"/>
              <w:left w:w="108" w:type="dxa"/>
              <w:bottom w:w="0" w:type="dxa"/>
              <w:right w:w="108" w:type="dxa"/>
            </w:tcMar>
            <w:hideMark/>
          </w:tcPr>
          <w:p w:rsidR="00627880" w:rsidRPr="00BB05F7" w:rsidRDefault="00627880" w:rsidP="00554FD1">
            <w:pPr>
              <w:spacing w:before="120" w:after="0" w:line="234" w:lineRule="atLeast"/>
              <w:jc w:val="center"/>
              <w:rPr>
                <w:rFonts w:eastAsia="Times New Roman" w:cs="Times New Roman"/>
                <w:szCs w:val="28"/>
              </w:rPr>
            </w:pPr>
            <w:r w:rsidRPr="00BB05F7">
              <w:rPr>
                <w:rFonts w:eastAsia="Times New Roman" w:cs="Times New Roman"/>
                <w:szCs w:val="28"/>
                <w:lang w:val="vi-VN"/>
              </w:rPr>
              <w:t>Số: </w:t>
            </w:r>
            <w:r w:rsidRPr="00BB05F7">
              <w:rPr>
                <w:rFonts w:eastAsia="Times New Roman" w:cs="Times New Roman"/>
                <w:szCs w:val="28"/>
              </w:rPr>
              <w:t>281/QĐ-TTg</w:t>
            </w:r>
          </w:p>
        </w:tc>
        <w:tc>
          <w:tcPr>
            <w:tcW w:w="6237" w:type="dxa"/>
            <w:tcMar>
              <w:top w:w="0" w:type="dxa"/>
              <w:left w:w="108" w:type="dxa"/>
              <w:bottom w:w="0" w:type="dxa"/>
              <w:right w:w="108" w:type="dxa"/>
            </w:tcMar>
            <w:hideMark/>
          </w:tcPr>
          <w:p w:rsidR="00627880" w:rsidRPr="00BB05F7" w:rsidRDefault="00627880" w:rsidP="00554FD1">
            <w:pPr>
              <w:spacing w:before="120" w:after="0" w:line="234" w:lineRule="atLeast"/>
              <w:jc w:val="right"/>
              <w:rPr>
                <w:rFonts w:eastAsia="Times New Roman" w:cs="Times New Roman"/>
                <w:szCs w:val="28"/>
              </w:rPr>
            </w:pPr>
            <w:r w:rsidRPr="00BB05F7">
              <w:rPr>
                <w:rFonts w:eastAsia="Times New Roman" w:cs="Times New Roman"/>
                <w:i/>
                <w:iCs/>
                <w:szCs w:val="28"/>
              </w:rPr>
              <w:t>Hà Nội</w:t>
            </w:r>
            <w:r w:rsidRPr="00BB05F7">
              <w:rPr>
                <w:rFonts w:eastAsia="Times New Roman" w:cs="Times New Roman"/>
                <w:i/>
                <w:iCs/>
                <w:szCs w:val="28"/>
                <w:lang w:val="vi-VN"/>
              </w:rPr>
              <w:t>, ngày </w:t>
            </w:r>
            <w:r w:rsidRPr="00BB05F7">
              <w:rPr>
                <w:rFonts w:eastAsia="Times New Roman" w:cs="Times New Roman"/>
                <w:i/>
                <w:iCs/>
                <w:szCs w:val="28"/>
              </w:rPr>
              <w:t>20</w:t>
            </w:r>
            <w:r w:rsidRPr="00BB05F7">
              <w:rPr>
                <w:rFonts w:eastAsia="Times New Roman" w:cs="Times New Roman"/>
                <w:i/>
                <w:iCs/>
                <w:szCs w:val="28"/>
                <w:lang w:val="vi-VN"/>
              </w:rPr>
              <w:t> tháng </w:t>
            </w:r>
            <w:r w:rsidRPr="00BB05F7">
              <w:rPr>
                <w:rFonts w:eastAsia="Times New Roman" w:cs="Times New Roman"/>
                <w:i/>
                <w:iCs/>
                <w:szCs w:val="28"/>
              </w:rPr>
              <w:t>02</w:t>
            </w:r>
            <w:r w:rsidRPr="00BB05F7">
              <w:rPr>
                <w:rFonts w:eastAsia="Times New Roman" w:cs="Times New Roman"/>
                <w:i/>
                <w:iCs/>
                <w:szCs w:val="28"/>
                <w:lang w:val="vi-VN"/>
              </w:rPr>
              <w:t> năm </w:t>
            </w:r>
            <w:r w:rsidRPr="00BB05F7">
              <w:rPr>
                <w:rFonts w:eastAsia="Times New Roman" w:cs="Times New Roman"/>
                <w:i/>
                <w:iCs/>
                <w:szCs w:val="28"/>
              </w:rPr>
              <w:t>2014</w:t>
            </w:r>
          </w:p>
        </w:tc>
      </w:tr>
    </w:tbl>
    <w:p w:rsidR="00627880" w:rsidRDefault="00627880" w:rsidP="00627880">
      <w:pPr>
        <w:shd w:val="clear" w:color="auto" w:fill="FFFFFF"/>
        <w:spacing w:after="0" w:line="240" w:lineRule="auto"/>
        <w:jc w:val="center"/>
        <w:rPr>
          <w:rFonts w:eastAsia="Times New Roman" w:cs="Times New Roman"/>
          <w:b/>
          <w:bCs/>
          <w:szCs w:val="28"/>
        </w:rPr>
      </w:pPr>
    </w:p>
    <w:p w:rsidR="00627880" w:rsidRPr="00627880" w:rsidRDefault="00627880" w:rsidP="00627880">
      <w:pPr>
        <w:shd w:val="clear" w:color="auto" w:fill="FFFFFF"/>
        <w:spacing w:after="0" w:line="240" w:lineRule="auto"/>
        <w:jc w:val="center"/>
        <w:rPr>
          <w:rFonts w:eastAsia="Times New Roman" w:cs="Times New Roman"/>
          <w:b/>
          <w:szCs w:val="28"/>
        </w:rPr>
      </w:pPr>
      <w:r w:rsidRPr="00627880">
        <w:rPr>
          <w:rFonts w:eastAsia="Times New Roman" w:cs="Times New Roman"/>
          <w:b/>
          <w:bCs/>
          <w:szCs w:val="28"/>
          <w:lang w:val="vi-VN"/>
        </w:rPr>
        <w:t>QUYẾT ĐỊNH</w:t>
      </w:r>
    </w:p>
    <w:p w:rsidR="00627880" w:rsidRPr="00627880" w:rsidRDefault="00627880" w:rsidP="00627880">
      <w:pPr>
        <w:shd w:val="clear" w:color="auto" w:fill="FFFFFF"/>
        <w:spacing w:after="0" w:line="240" w:lineRule="auto"/>
        <w:jc w:val="center"/>
        <w:rPr>
          <w:rFonts w:eastAsia="Times New Roman" w:cs="Times New Roman"/>
          <w:b/>
          <w:szCs w:val="28"/>
        </w:rPr>
      </w:pPr>
      <w:r w:rsidRPr="00627880">
        <w:rPr>
          <w:rFonts w:eastAsia="Times New Roman" w:cs="Times New Roman"/>
          <w:b/>
          <w:szCs w:val="28"/>
          <w:lang w:val="vi-VN"/>
        </w:rPr>
        <w:t>PHÊ DUYỆT ĐỀ ÁN “ĐẨY MẠNH PHONG TRÀO HỌC TẬP SUỐT ĐỜI TRONG GIA ĐÌNH, DÒNG HỌ, CỘNG ĐỒNG ĐẾN NĂM 2020”</w:t>
      </w:r>
    </w:p>
    <w:p w:rsidR="00627880" w:rsidRPr="00627880" w:rsidRDefault="00627880" w:rsidP="00627880">
      <w:pPr>
        <w:shd w:val="clear" w:color="auto" w:fill="FFFFFF"/>
        <w:spacing w:before="120" w:after="0" w:line="234" w:lineRule="atLeast"/>
        <w:jc w:val="center"/>
        <w:rPr>
          <w:rFonts w:eastAsia="Times New Roman" w:cs="Times New Roman"/>
          <w:b/>
          <w:bCs/>
          <w:szCs w:val="28"/>
        </w:rPr>
      </w:pPr>
      <w:r w:rsidRPr="00627880">
        <w:rPr>
          <w:noProof/>
        </w:rPr>
        <mc:AlternateContent>
          <mc:Choice Requires="wps">
            <w:drawing>
              <wp:anchor distT="4294967295" distB="4294967295" distL="114300" distR="114300" simplePos="0" relativeHeight="251659264" behindDoc="0" locked="0" layoutInCell="1" allowOverlap="1" wp14:anchorId="3B8934C7" wp14:editId="19BA7D8D">
                <wp:simplePos x="0" y="0"/>
                <wp:positionH relativeFrom="column">
                  <wp:posOffset>1663065</wp:posOffset>
                </wp:positionH>
                <wp:positionV relativeFrom="paragraph">
                  <wp:posOffset>17779</wp:posOffset>
                </wp:positionV>
                <wp:extent cx="324802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80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130.95pt;margin-top:1.4pt;width:255.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"/>
            </w:pict>
          </mc:Fallback>
        </mc:AlternateContent>
      </w:r>
    </w:p>
    <w:p w:rsidR="00627880" w:rsidRPr="00627880" w:rsidRDefault="00627880" w:rsidP="00627880">
      <w:pPr>
        <w:shd w:val="clear" w:color="auto" w:fill="FFFFFF"/>
        <w:spacing w:before="120" w:after="0" w:line="234" w:lineRule="atLeast"/>
        <w:jc w:val="center"/>
        <w:rPr>
          <w:rFonts w:eastAsia="Times New Roman" w:cs="Times New Roman"/>
          <w:szCs w:val="28"/>
        </w:rPr>
      </w:pPr>
      <w:r w:rsidRPr="00627880">
        <w:rPr>
          <w:rFonts w:eastAsia="Times New Roman" w:cs="Times New Roman"/>
          <w:b/>
          <w:bCs/>
          <w:szCs w:val="28"/>
          <w:lang w:val="vi-VN"/>
        </w:rPr>
        <w:t>THỦ TƯỚNG CHÍNH PHỦ</w:t>
      </w:r>
    </w:p>
    <w:p w:rsidR="00627880" w:rsidRPr="00627880" w:rsidRDefault="00627880" w:rsidP="00627880">
      <w:pPr>
        <w:shd w:val="clear" w:color="auto" w:fill="FFFFFF"/>
        <w:spacing w:before="120" w:after="0" w:line="234" w:lineRule="atLeast"/>
        <w:ind w:firstLine="720"/>
        <w:jc w:val="both"/>
        <w:rPr>
          <w:rFonts w:eastAsia="Times New Roman" w:cs="Times New Roman"/>
          <w:szCs w:val="28"/>
        </w:rPr>
      </w:pPr>
      <w:r w:rsidRPr="00627880">
        <w:rPr>
          <w:rFonts w:eastAsia="Times New Roman" w:cs="Times New Roman"/>
          <w:i/>
          <w:iCs/>
          <w:szCs w:val="28"/>
          <w:lang w:val="vi-VN"/>
        </w:rPr>
        <w:t>Căn cứ Luật tổ chức Chính phủ ngày 25 tháng 12 năm 2001;</w:t>
      </w:r>
    </w:p>
    <w:p w:rsidR="00627880" w:rsidRPr="00627880" w:rsidRDefault="00627880" w:rsidP="00627880">
      <w:pPr>
        <w:shd w:val="clear" w:color="auto" w:fill="FFFFFF"/>
        <w:spacing w:before="120" w:after="0" w:line="234" w:lineRule="atLeast"/>
        <w:ind w:firstLine="720"/>
        <w:jc w:val="both"/>
        <w:rPr>
          <w:rFonts w:eastAsia="Times New Roman" w:cs="Times New Roman"/>
          <w:szCs w:val="28"/>
        </w:rPr>
      </w:pPr>
      <w:r w:rsidRPr="00627880">
        <w:rPr>
          <w:rFonts w:eastAsia="Times New Roman" w:cs="Times New Roman"/>
          <w:i/>
          <w:iCs/>
          <w:szCs w:val="28"/>
          <w:lang w:val="vi-VN"/>
        </w:rPr>
        <w:t>Căn cứ Luật giáo dục ngày 14 tháng 6 năm 2005; Luật sửa đổi, bổ sung một số điều của Luật giáo dục ngày 25 tháng 11 năm 2009;</w:t>
      </w:r>
    </w:p>
    <w:p w:rsidR="00627880" w:rsidRPr="00627880" w:rsidRDefault="00627880" w:rsidP="00627880">
      <w:pPr>
        <w:shd w:val="clear" w:color="auto" w:fill="FFFFFF"/>
        <w:spacing w:after="0" w:line="234" w:lineRule="atLeast"/>
        <w:ind w:firstLine="720"/>
        <w:jc w:val="both"/>
        <w:rPr>
          <w:rFonts w:eastAsia="Times New Roman" w:cs="Times New Roman"/>
          <w:szCs w:val="28"/>
        </w:rPr>
      </w:pPr>
      <w:r w:rsidRPr="00627880">
        <w:rPr>
          <w:rFonts w:eastAsia="Times New Roman" w:cs="Times New Roman"/>
          <w:i/>
          <w:iCs/>
          <w:szCs w:val="28"/>
          <w:lang w:val="vi-VN"/>
        </w:rPr>
        <w:t>Căn cứ Quyết định số</w:t>
      </w:r>
      <w:hyperlink r:id="rId7" w:tgtFrame="_blank" w:history="1">
        <w:r w:rsidRPr="00627880">
          <w:rPr>
            <w:rFonts w:eastAsia="Times New Roman" w:cs="Times New Roman"/>
            <w:i/>
            <w:iCs/>
            <w:szCs w:val="28"/>
            <w:lang w:val="vi-VN"/>
          </w:rPr>
          <w:t> 89/QĐ-TTg</w:t>
        </w:r>
      </w:hyperlink>
      <w:r w:rsidRPr="00627880">
        <w:rPr>
          <w:rFonts w:eastAsia="Times New Roman" w:cs="Times New Roman"/>
          <w:i/>
          <w:iCs/>
          <w:szCs w:val="28"/>
          <w:lang w:val="vi-VN"/>
        </w:rPr>
        <w:t> ngày 9 tháng 01 năm 2013 của Thủ tướng Chính phủ về việc phê duyệt Đề án “Xây dựng xã hội học tập giai đoạn 2012 - 2020</w:t>
      </w:r>
      <w:r w:rsidRPr="00627880">
        <w:rPr>
          <w:rFonts w:eastAsia="Times New Roman" w:cs="Times New Roman"/>
          <w:i/>
          <w:iCs/>
          <w:szCs w:val="28"/>
        </w:rPr>
        <w:t>"</w:t>
      </w:r>
      <w:r w:rsidRPr="00627880">
        <w:rPr>
          <w:rFonts w:eastAsia="Times New Roman" w:cs="Times New Roman"/>
          <w:i/>
          <w:iCs/>
          <w:szCs w:val="28"/>
          <w:lang w:val="vi-VN"/>
        </w:rPr>
        <w:t>;</w:t>
      </w:r>
    </w:p>
    <w:p w:rsidR="00627880" w:rsidRPr="00627880" w:rsidRDefault="00627880" w:rsidP="00627880">
      <w:pPr>
        <w:shd w:val="clear" w:color="auto" w:fill="FFFFFF"/>
        <w:spacing w:before="120" w:after="0" w:line="234" w:lineRule="atLeast"/>
        <w:ind w:firstLine="720"/>
        <w:jc w:val="both"/>
        <w:rPr>
          <w:rFonts w:eastAsia="Times New Roman" w:cs="Times New Roman"/>
          <w:szCs w:val="28"/>
        </w:rPr>
      </w:pPr>
      <w:r w:rsidRPr="00627880">
        <w:rPr>
          <w:rFonts w:eastAsia="Times New Roman" w:cs="Times New Roman"/>
          <w:i/>
          <w:iCs/>
          <w:szCs w:val="28"/>
          <w:lang w:val="vi-VN"/>
        </w:rPr>
        <w:t>Xét đề nghị của Chủ tịch Hội Khuyến học Việt Nam,</w:t>
      </w:r>
    </w:p>
    <w:p w:rsidR="00627880" w:rsidRPr="00627880" w:rsidRDefault="00627880" w:rsidP="00627880">
      <w:pPr>
        <w:shd w:val="clear" w:color="auto" w:fill="FFFFFF"/>
        <w:spacing w:before="120" w:after="0" w:line="234" w:lineRule="atLeast"/>
        <w:jc w:val="center"/>
        <w:rPr>
          <w:rFonts w:eastAsia="Times New Roman" w:cs="Times New Roman"/>
          <w:szCs w:val="28"/>
        </w:rPr>
      </w:pPr>
      <w:r w:rsidRPr="00627880">
        <w:rPr>
          <w:rFonts w:eastAsia="Times New Roman" w:cs="Times New Roman"/>
          <w:b/>
          <w:bCs/>
          <w:szCs w:val="28"/>
          <w:lang w:val="vi-VN"/>
        </w:rPr>
        <w:t>QUYẾT ĐỊNH:</w:t>
      </w:r>
    </w:p>
    <w:p w:rsidR="00627880" w:rsidRPr="00627880" w:rsidRDefault="00627880" w:rsidP="00AB4B8D">
      <w:pPr>
        <w:shd w:val="clear" w:color="auto" w:fill="FFFFFF"/>
        <w:spacing w:before="120" w:after="120" w:line="380" w:lineRule="exact"/>
        <w:ind w:firstLine="720"/>
        <w:jc w:val="both"/>
        <w:rPr>
          <w:rFonts w:eastAsia="Times New Roman" w:cs="Times New Roman"/>
          <w:szCs w:val="28"/>
        </w:rPr>
      </w:pPr>
      <w:r w:rsidRPr="00627880">
        <w:rPr>
          <w:rFonts w:eastAsia="Times New Roman" w:cs="Times New Roman"/>
          <w:b/>
          <w:bCs/>
          <w:szCs w:val="28"/>
          <w:lang w:val="vi-VN"/>
        </w:rPr>
        <w:t>Điều 1.</w:t>
      </w:r>
      <w:r w:rsidRPr="00627880">
        <w:rPr>
          <w:rFonts w:eastAsia="Times New Roman" w:cs="Times New Roman"/>
          <w:szCs w:val="28"/>
          <w:lang w:val="vi-VN"/>
        </w:rPr>
        <w:t> Phê duyệt Đề án “Đẩy mạnh phong trào học tập suốt đời trong gia đình, dòng họ, cộng đồng đến năm 2020” (sau đây gọi tắt là Đề án) </w:t>
      </w:r>
      <w:r w:rsidRPr="00627880">
        <w:rPr>
          <w:rFonts w:eastAsia="Times New Roman" w:cs="Times New Roman"/>
          <w:szCs w:val="28"/>
        </w:rPr>
        <w:t>với </w:t>
      </w:r>
      <w:r w:rsidRPr="00627880">
        <w:rPr>
          <w:rFonts w:eastAsia="Times New Roman" w:cs="Times New Roman"/>
          <w:szCs w:val="28"/>
          <w:lang w:val="vi-VN"/>
        </w:rPr>
        <w:t>những nội dung chủ y</w:t>
      </w:r>
      <w:r w:rsidRPr="00627880">
        <w:rPr>
          <w:rFonts w:eastAsia="Times New Roman" w:cs="Times New Roman"/>
          <w:szCs w:val="28"/>
        </w:rPr>
        <w:t>ế</w:t>
      </w:r>
      <w:r w:rsidRPr="00627880">
        <w:rPr>
          <w:rFonts w:eastAsia="Times New Roman" w:cs="Times New Roman"/>
          <w:szCs w:val="28"/>
          <w:lang w:val="vi-VN"/>
        </w:rPr>
        <w:t>u sau đây:</w:t>
      </w:r>
    </w:p>
    <w:p w:rsidR="00627880" w:rsidRPr="00627880" w:rsidRDefault="00627880" w:rsidP="00AB4B8D">
      <w:pPr>
        <w:shd w:val="clear" w:color="auto" w:fill="FFFFFF"/>
        <w:spacing w:before="120" w:after="120" w:line="380" w:lineRule="exact"/>
        <w:ind w:firstLine="720"/>
        <w:jc w:val="both"/>
        <w:rPr>
          <w:rFonts w:eastAsia="Times New Roman" w:cs="Times New Roman"/>
          <w:szCs w:val="28"/>
        </w:rPr>
      </w:pPr>
      <w:r w:rsidRPr="00627880">
        <w:rPr>
          <w:rFonts w:eastAsia="Times New Roman" w:cs="Times New Roman"/>
          <w:b/>
          <w:bCs/>
          <w:szCs w:val="28"/>
        </w:rPr>
        <w:t>I. </w:t>
      </w:r>
      <w:r w:rsidRPr="00627880">
        <w:rPr>
          <w:rFonts w:eastAsia="Times New Roman" w:cs="Times New Roman"/>
          <w:b/>
          <w:bCs/>
          <w:szCs w:val="28"/>
          <w:lang w:val="vi-VN"/>
        </w:rPr>
        <w:t>MỤC TIÊU</w:t>
      </w:r>
    </w:p>
    <w:p w:rsidR="00627880" w:rsidRPr="00627880" w:rsidRDefault="00627880" w:rsidP="00AB4B8D">
      <w:pPr>
        <w:shd w:val="clear" w:color="auto" w:fill="FFFFFF"/>
        <w:spacing w:before="120" w:after="120" w:line="380" w:lineRule="exact"/>
        <w:ind w:firstLine="720"/>
        <w:jc w:val="both"/>
        <w:rPr>
          <w:rFonts w:eastAsia="Times New Roman" w:cs="Times New Roman"/>
          <w:szCs w:val="28"/>
        </w:rPr>
      </w:pPr>
      <w:r w:rsidRPr="00627880">
        <w:rPr>
          <w:rFonts w:eastAsia="Times New Roman" w:cs="Times New Roman"/>
          <w:szCs w:val="28"/>
        </w:rPr>
        <w:t>1. </w:t>
      </w:r>
      <w:r w:rsidRPr="00627880">
        <w:rPr>
          <w:rFonts w:eastAsia="Times New Roman" w:cs="Times New Roman"/>
          <w:szCs w:val="28"/>
          <w:lang w:val="vi-VN"/>
        </w:rPr>
        <w:t xml:space="preserve">Mục tiêu </w:t>
      </w:r>
      <w:proofErr w:type="gramStart"/>
      <w:r w:rsidRPr="00627880">
        <w:rPr>
          <w:rFonts w:eastAsia="Times New Roman" w:cs="Times New Roman"/>
          <w:szCs w:val="28"/>
          <w:lang w:val="vi-VN"/>
        </w:rPr>
        <w:t>chung</w:t>
      </w:r>
      <w:proofErr w:type="gramEnd"/>
      <w:r w:rsidRPr="00627880">
        <w:rPr>
          <w:rFonts w:eastAsia="Times New Roman" w:cs="Times New Roman"/>
          <w:szCs w:val="28"/>
          <w:lang w:val="vi-VN"/>
        </w:rPr>
        <w:t>:</w:t>
      </w:r>
    </w:p>
    <w:p w:rsidR="00627880" w:rsidRPr="00627880" w:rsidRDefault="00627880" w:rsidP="00AB4B8D">
      <w:pPr>
        <w:shd w:val="clear" w:color="auto" w:fill="FFFFFF"/>
        <w:spacing w:before="120" w:after="120" w:line="380" w:lineRule="exact"/>
        <w:jc w:val="both"/>
        <w:rPr>
          <w:rFonts w:eastAsia="Times New Roman" w:cs="Times New Roman"/>
          <w:szCs w:val="28"/>
        </w:rPr>
      </w:pPr>
      <w:r w:rsidRPr="00627880">
        <w:rPr>
          <w:rFonts w:eastAsia="Times New Roman" w:cs="Times New Roman"/>
          <w:szCs w:val="28"/>
          <w:lang w:val="vi-VN"/>
        </w:rPr>
        <w:t>Đẩy mạnh các hoạt động học tập thường xuyên, học tập suốt đời </w:t>
      </w:r>
      <w:r w:rsidRPr="00627880">
        <w:rPr>
          <w:rFonts w:eastAsia="Times New Roman" w:cs="Times New Roman"/>
          <w:szCs w:val="28"/>
        </w:rPr>
        <w:t>tr</w:t>
      </w:r>
      <w:r w:rsidRPr="00627880">
        <w:rPr>
          <w:rFonts w:eastAsia="Times New Roman" w:cs="Times New Roman"/>
          <w:szCs w:val="28"/>
          <w:lang w:val="vi-VN"/>
        </w:rPr>
        <w:t>ong gia đình, dòng họ, cộng đồng thông qua việc xây dựng và triển khai các mô hình “Gia đình học tập”, “Dòng họ học tập”, “Cộng đồng học tập” và “Đơn vị học tập”, góp phần xây dựng xã hội học tập.</w:t>
      </w:r>
    </w:p>
    <w:p w:rsidR="00627880" w:rsidRPr="00627880" w:rsidRDefault="00627880" w:rsidP="00AB4B8D">
      <w:pPr>
        <w:shd w:val="clear" w:color="auto" w:fill="FFFFFF"/>
        <w:spacing w:before="120" w:after="120" w:line="380" w:lineRule="exact"/>
        <w:ind w:firstLine="720"/>
        <w:jc w:val="both"/>
        <w:rPr>
          <w:rFonts w:eastAsia="Times New Roman" w:cs="Times New Roman"/>
          <w:szCs w:val="28"/>
        </w:rPr>
      </w:pPr>
      <w:r w:rsidRPr="00627880">
        <w:rPr>
          <w:rFonts w:eastAsia="Times New Roman" w:cs="Times New Roman"/>
          <w:szCs w:val="28"/>
        </w:rPr>
        <w:t>2. </w:t>
      </w:r>
      <w:r w:rsidRPr="00627880">
        <w:rPr>
          <w:rFonts w:eastAsia="Times New Roman" w:cs="Times New Roman"/>
          <w:szCs w:val="28"/>
          <w:lang w:val="vi-VN"/>
        </w:rPr>
        <w:t>Mục tiêu cụ thể:</w:t>
      </w:r>
    </w:p>
    <w:p w:rsidR="00627880" w:rsidRPr="00627880" w:rsidRDefault="00627880" w:rsidP="00AB4B8D">
      <w:pPr>
        <w:shd w:val="clear" w:color="auto" w:fill="FFFFFF"/>
        <w:spacing w:before="120" w:after="120" w:line="380" w:lineRule="exact"/>
        <w:ind w:firstLine="720"/>
        <w:jc w:val="both"/>
        <w:rPr>
          <w:rFonts w:eastAsia="Times New Roman" w:cs="Times New Roman"/>
          <w:szCs w:val="28"/>
        </w:rPr>
      </w:pPr>
      <w:r w:rsidRPr="00627880">
        <w:rPr>
          <w:rFonts w:eastAsia="Times New Roman" w:cs="Times New Roman"/>
          <w:szCs w:val="28"/>
        </w:rPr>
        <w:t>a) </w:t>
      </w:r>
      <w:r w:rsidRPr="00627880">
        <w:rPr>
          <w:rFonts w:eastAsia="Times New Roman" w:cs="Times New Roman"/>
          <w:szCs w:val="28"/>
          <w:lang w:val="vi-VN"/>
        </w:rPr>
        <w:t>Xây dựng và thí điểm các mô hình “Gia đình học tập”, “Dòng họ học tập”, “Cộng đồng học tập” và “Đ</w:t>
      </w:r>
      <w:r w:rsidRPr="00627880">
        <w:rPr>
          <w:rFonts w:eastAsia="Times New Roman" w:cs="Times New Roman"/>
          <w:szCs w:val="28"/>
        </w:rPr>
        <w:t>ơn </w:t>
      </w:r>
      <w:r w:rsidRPr="00627880">
        <w:rPr>
          <w:rFonts w:eastAsia="Times New Roman" w:cs="Times New Roman"/>
          <w:szCs w:val="28"/>
          <w:lang w:val="vi-VN"/>
        </w:rPr>
        <w:t>vị học tập” để triển khai nhân rộng từ năm 2016 trong phạm vi cả nước;</w:t>
      </w:r>
    </w:p>
    <w:p w:rsidR="00627880" w:rsidRPr="00627880" w:rsidRDefault="00627880" w:rsidP="00AB4B8D">
      <w:pPr>
        <w:shd w:val="clear" w:color="auto" w:fill="FFFFFF"/>
        <w:spacing w:before="120" w:after="120" w:line="380" w:lineRule="exact"/>
        <w:ind w:firstLine="720"/>
        <w:jc w:val="both"/>
        <w:rPr>
          <w:rFonts w:eastAsia="Times New Roman" w:cs="Times New Roman"/>
          <w:szCs w:val="28"/>
        </w:rPr>
      </w:pPr>
      <w:r w:rsidRPr="00627880">
        <w:rPr>
          <w:rFonts w:eastAsia="Times New Roman" w:cs="Times New Roman"/>
          <w:szCs w:val="28"/>
          <w:lang w:val="vi-VN"/>
        </w:rPr>
        <w:t>b) Phấn đấu đến năm 2020:</w:t>
      </w:r>
    </w:p>
    <w:p w:rsidR="00627880" w:rsidRPr="00627880" w:rsidRDefault="00627880" w:rsidP="00AB4B8D">
      <w:pPr>
        <w:shd w:val="clear" w:color="auto" w:fill="FFFFFF"/>
        <w:spacing w:before="120" w:after="120" w:line="380" w:lineRule="exact"/>
        <w:ind w:firstLine="720"/>
        <w:jc w:val="both"/>
        <w:rPr>
          <w:rFonts w:eastAsia="Times New Roman" w:cs="Times New Roman"/>
          <w:szCs w:val="28"/>
        </w:rPr>
      </w:pPr>
      <w:r w:rsidRPr="00627880">
        <w:rPr>
          <w:rFonts w:eastAsia="Times New Roman" w:cs="Times New Roman"/>
          <w:szCs w:val="28"/>
        </w:rPr>
        <w:lastRenderedPageBreak/>
        <w:t>- </w:t>
      </w:r>
      <w:r w:rsidRPr="00627880">
        <w:rPr>
          <w:rFonts w:eastAsia="Times New Roman" w:cs="Times New Roman"/>
          <w:szCs w:val="28"/>
          <w:lang w:val="vi-VN"/>
        </w:rPr>
        <w:t>100% cán bộ, hội viên của Hội Khuyến học Việt Nam được tập huấn nâng cao nhận thức về xã hội học tập và các mô hình học tập suốt đời trong gia đình, dòng họ và cộng đồng;</w:t>
      </w:r>
    </w:p>
    <w:p w:rsidR="00627880" w:rsidRPr="00627880" w:rsidRDefault="00627880" w:rsidP="00AB4B8D">
      <w:pPr>
        <w:shd w:val="clear" w:color="auto" w:fill="FFFFFF"/>
        <w:spacing w:before="120" w:after="120" w:line="380" w:lineRule="exact"/>
        <w:ind w:firstLine="720"/>
        <w:jc w:val="both"/>
        <w:rPr>
          <w:rFonts w:eastAsia="Times New Roman" w:cs="Times New Roman"/>
          <w:szCs w:val="28"/>
        </w:rPr>
      </w:pPr>
      <w:r w:rsidRPr="00627880">
        <w:rPr>
          <w:rFonts w:eastAsia="Times New Roman" w:cs="Times New Roman"/>
          <w:szCs w:val="28"/>
        </w:rPr>
        <w:t>- </w:t>
      </w:r>
      <w:r w:rsidRPr="00627880">
        <w:rPr>
          <w:rFonts w:eastAsia="Times New Roman" w:cs="Times New Roman"/>
          <w:szCs w:val="28"/>
          <w:lang w:val="vi-VN"/>
        </w:rPr>
        <w:t>70% gia đình được công nhận Danh hiệu “Gia đình học tập”; 50% dòng họ được công nhận Danh hiệu “Dòng họ học tập”; 60% cộng đồng (thôn, làng, ấp, bản, tổ dân phố và tương đương) đạt Danh hiệu “Cộng đồng học tập”. Đối với các vùng núi, vùng sâu, vùng xa, vùng có điều kiện kinh tế - xã hội đặc biệt khó khăn, các tỷ lệ này tương ứng là 60%, 40% và 50%;</w:t>
      </w:r>
    </w:p>
    <w:p w:rsidR="00627880" w:rsidRPr="00627880" w:rsidRDefault="00627880" w:rsidP="00AB4B8D">
      <w:pPr>
        <w:shd w:val="clear" w:color="auto" w:fill="FFFFFF"/>
        <w:spacing w:before="120" w:after="120" w:line="380" w:lineRule="exact"/>
        <w:ind w:firstLine="720"/>
        <w:jc w:val="both"/>
        <w:rPr>
          <w:rFonts w:eastAsia="Times New Roman" w:cs="Times New Roman"/>
          <w:szCs w:val="28"/>
        </w:rPr>
      </w:pPr>
      <w:r w:rsidRPr="00627880">
        <w:rPr>
          <w:rFonts w:eastAsia="Times New Roman" w:cs="Times New Roman"/>
          <w:szCs w:val="28"/>
        </w:rPr>
        <w:t>- </w:t>
      </w:r>
      <w:r w:rsidRPr="00627880">
        <w:rPr>
          <w:rFonts w:eastAsia="Times New Roman" w:cs="Times New Roman"/>
          <w:szCs w:val="28"/>
          <w:lang w:val="vi-VN"/>
        </w:rPr>
        <w:t>50% các tổ chức, cơ quan, trường học, đơn vị. </w:t>
      </w:r>
      <w:r w:rsidRPr="00627880">
        <w:rPr>
          <w:rFonts w:eastAsia="Times New Roman" w:cs="Times New Roman"/>
          <w:szCs w:val="28"/>
        </w:rPr>
        <w:t>D</w:t>
      </w:r>
      <w:r w:rsidRPr="00627880">
        <w:rPr>
          <w:rFonts w:eastAsia="Times New Roman" w:cs="Times New Roman"/>
          <w:szCs w:val="28"/>
          <w:lang w:val="vi-VN"/>
        </w:rPr>
        <w:t>oanh nghiệp đạt Danh hiệu “Đơn vị học tập”.</w:t>
      </w:r>
    </w:p>
    <w:p w:rsidR="00627880" w:rsidRPr="00627880" w:rsidRDefault="00627880" w:rsidP="00AB4B8D">
      <w:pPr>
        <w:shd w:val="clear" w:color="auto" w:fill="FFFFFF"/>
        <w:spacing w:before="120" w:after="120" w:line="380" w:lineRule="exact"/>
        <w:ind w:firstLine="720"/>
        <w:jc w:val="both"/>
        <w:rPr>
          <w:rFonts w:eastAsia="Times New Roman" w:cs="Times New Roman"/>
          <w:szCs w:val="28"/>
        </w:rPr>
      </w:pPr>
      <w:r w:rsidRPr="00627880">
        <w:rPr>
          <w:rFonts w:eastAsia="Times New Roman" w:cs="Times New Roman"/>
          <w:b/>
          <w:bCs/>
          <w:szCs w:val="28"/>
        </w:rPr>
        <w:t>II</w:t>
      </w:r>
      <w:r w:rsidRPr="00627880">
        <w:rPr>
          <w:rFonts w:eastAsia="Times New Roman" w:cs="Times New Roman"/>
          <w:b/>
          <w:bCs/>
          <w:szCs w:val="28"/>
          <w:lang w:val="vi-VN"/>
        </w:rPr>
        <w:t>. NHIỆM VỤ VÀ GIẢI PHÁP</w:t>
      </w:r>
    </w:p>
    <w:p w:rsidR="00627880" w:rsidRPr="00627880" w:rsidRDefault="00627880" w:rsidP="00AB4B8D">
      <w:pPr>
        <w:shd w:val="clear" w:color="auto" w:fill="FFFFFF"/>
        <w:spacing w:before="120" w:after="120" w:line="380" w:lineRule="exact"/>
        <w:ind w:firstLine="720"/>
        <w:jc w:val="both"/>
        <w:rPr>
          <w:rFonts w:eastAsia="Times New Roman" w:cs="Times New Roman"/>
          <w:szCs w:val="28"/>
        </w:rPr>
      </w:pPr>
      <w:r w:rsidRPr="00627880">
        <w:rPr>
          <w:rFonts w:eastAsia="Times New Roman" w:cs="Times New Roman"/>
          <w:szCs w:val="28"/>
        </w:rPr>
        <w:t>1. </w:t>
      </w:r>
      <w:r w:rsidRPr="00627880">
        <w:rPr>
          <w:rFonts w:eastAsia="Times New Roman" w:cs="Times New Roman"/>
          <w:szCs w:val="28"/>
          <w:lang w:val="vi-VN"/>
        </w:rPr>
        <w:t>Xây dựng và thí điểm các mô hình “Gia đình học tập”, “Dòng họ học tập”, “Cộng đồng học tập” và “Đơn vị học tập”:</w:t>
      </w:r>
    </w:p>
    <w:p w:rsidR="00627880" w:rsidRPr="00627880" w:rsidRDefault="00627880" w:rsidP="00AB4B8D">
      <w:pPr>
        <w:shd w:val="clear" w:color="auto" w:fill="FFFFFF"/>
        <w:spacing w:before="120" w:after="120" w:line="380" w:lineRule="exact"/>
        <w:ind w:firstLine="720"/>
        <w:jc w:val="both"/>
        <w:rPr>
          <w:rFonts w:eastAsia="Times New Roman" w:cs="Times New Roman"/>
          <w:szCs w:val="28"/>
        </w:rPr>
      </w:pPr>
      <w:r w:rsidRPr="00627880">
        <w:rPr>
          <w:rFonts w:eastAsia="Times New Roman" w:cs="Times New Roman"/>
          <w:szCs w:val="28"/>
        </w:rPr>
        <w:t>a) </w:t>
      </w:r>
      <w:r w:rsidRPr="00627880">
        <w:rPr>
          <w:rFonts w:eastAsia="Times New Roman" w:cs="Times New Roman"/>
          <w:szCs w:val="28"/>
          <w:lang w:val="vi-VN"/>
        </w:rPr>
        <w:t>Tổ chức nghiên cứu, tổng kết kinh nghiệm trong và ngoài nước về việc thúc đẩy các hoạt động học tập thường xuyên, học tập suốt đời của người dân, đề xuất các mô hình và tổ chức Hội thảo lấy ý kiến rộng rãi của các địa phương, các Bộ, ngành, đoàn thể, tổ chức, các chuyên gia và các nhà khoa học về các mô hình học tập suốt đ</w:t>
      </w:r>
      <w:r w:rsidRPr="00627880">
        <w:rPr>
          <w:rFonts w:eastAsia="Times New Roman" w:cs="Times New Roman"/>
          <w:szCs w:val="28"/>
        </w:rPr>
        <w:t>ờ</w:t>
      </w:r>
      <w:r w:rsidRPr="00627880">
        <w:rPr>
          <w:rFonts w:eastAsia="Times New Roman" w:cs="Times New Roman"/>
          <w:szCs w:val="28"/>
          <w:lang w:val="vi-VN"/>
        </w:rPr>
        <w:t>i trong gia đình, dòng họ, cộng đồng;</w:t>
      </w:r>
    </w:p>
    <w:p w:rsidR="00627880" w:rsidRPr="00627880" w:rsidRDefault="00627880" w:rsidP="00AB4B8D">
      <w:pPr>
        <w:shd w:val="clear" w:color="auto" w:fill="FFFFFF"/>
        <w:spacing w:before="120" w:after="120" w:line="380" w:lineRule="exact"/>
        <w:ind w:firstLine="720"/>
        <w:jc w:val="both"/>
        <w:rPr>
          <w:rFonts w:eastAsia="Times New Roman" w:cs="Times New Roman"/>
          <w:szCs w:val="28"/>
        </w:rPr>
      </w:pPr>
      <w:r w:rsidRPr="00627880">
        <w:rPr>
          <w:rFonts w:eastAsia="Times New Roman" w:cs="Times New Roman"/>
          <w:szCs w:val="28"/>
        </w:rPr>
        <w:t>b) </w:t>
      </w:r>
      <w:r w:rsidRPr="00627880">
        <w:rPr>
          <w:rFonts w:eastAsia="Times New Roman" w:cs="Times New Roman"/>
          <w:szCs w:val="28"/>
          <w:lang w:val="vi-VN"/>
        </w:rPr>
        <w:t>Triển khai, giám sát, đánh giá, tổng kết việc thí điểm các mô h</w:t>
      </w:r>
      <w:r w:rsidRPr="00627880">
        <w:rPr>
          <w:rFonts w:eastAsia="Times New Roman" w:cs="Times New Roman"/>
          <w:szCs w:val="28"/>
        </w:rPr>
        <w:t>ì</w:t>
      </w:r>
      <w:r w:rsidRPr="00627880">
        <w:rPr>
          <w:rFonts w:eastAsia="Times New Roman" w:cs="Times New Roman"/>
          <w:szCs w:val="28"/>
          <w:lang w:val="vi-VN"/>
        </w:rPr>
        <w:t>nh học tập suốt đời trong gia đình, dòng họ, cộng đồng ở các vùng, miền khác nhau;</w:t>
      </w:r>
    </w:p>
    <w:p w:rsidR="00627880" w:rsidRPr="00627880" w:rsidRDefault="00627880" w:rsidP="00AB4B8D">
      <w:pPr>
        <w:shd w:val="clear" w:color="auto" w:fill="FFFFFF"/>
        <w:spacing w:before="120" w:after="120" w:line="380" w:lineRule="exact"/>
        <w:ind w:firstLine="720"/>
        <w:jc w:val="both"/>
        <w:rPr>
          <w:rFonts w:eastAsia="Times New Roman" w:cs="Times New Roman"/>
          <w:szCs w:val="28"/>
        </w:rPr>
      </w:pPr>
      <w:r w:rsidRPr="00627880">
        <w:rPr>
          <w:rFonts w:eastAsia="Times New Roman" w:cs="Times New Roman"/>
          <w:szCs w:val="28"/>
        </w:rPr>
        <w:t>c) </w:t>
      </w:r>
      <w:r w:rsidRPr="00627880">
        <w:rPr>
          <w:rFonts w:eastAsia="Times New Roman" w:cs="Times New Roman"/>
          <w:szCs w:val="28"/>
          <w:lang w:val="vi-VN"/>
        </w:rPr>
        <w:t>Tổ chức biên soạn và in ấn tài liệu hướng dẫn tuyên truyền và nhân rộng các mô hình học tập suốt đời trong gia đình, dòng họ, cộng đồng.</w:t>
      </w:r>
    </w:p>
    <w:p w:rsidR="00627880" w:rsidRPr="00627880" w:rsidRDefault="00627880" w:rsidP="00AB4B8D">
      <w:pPr>
        <w:shd w:val="clear" w:color="auto" w:fill="FFFFFF"/>
        <w:spacing w:before="120" w:after="120" w:line="380" w:lineRule="exact"/>
        <w:ind w:firstLine="720"/>
        <w:jc w:val="both"/>
        <w:rPr>
          <w:rFonts w:eastAsia="Times New Roman" w:cs="Times New Roman"/>
          <w:szCs w:val="28"/>
        </w:rPr>
      </w:pPr>
      <w:r w:rsidRPr="00627880">
        <w:rPr>
          <w:rFonts w:eastAsia="Times New Roman" w:cs="Times New Roman"/>
          <w:szCs w:val="28"/>
        </w:rPr>
        <w:t>2. </w:t>
      </w:r>
      <w:r w:rsidRPr="00627880">
        <w:rPr>
          <w:rFonts w:eastAsia="Times New Roman" w:cs="Times New Roman"/>
          <w:szCs w:val="28"/>
          <w:lang w:val="vi-VN"/>
        </w:rPr>
        <w:t>Đẩy mạnh công tác tuyên truyền về xã hội học tập, về mô hình học tập suốt đời trong gia đình, dòng họ và cộng đồng:</w:t>
      </w:r>
    </w:p>
    <w:p w:rsidR="00627880" w:rsidRPr="00627880" w:rsidRDefault="00627880" w:rsidP="00AB4B8D">
      <w:pPr>
        <w:shd w:val="clear" w:color="auto" w:fill="FFFFFF"/>
        <w:spacing w:before="120" w:after="120" w:line="380" w:lineRule="exact"/>
        <w:ind w:firstLine="720"/>
        <w:jc w:val="both"/>
        <w:rPr>
          <w:rFonts w:eastAsia="Times New Roman" w:cs="Times New Roman"/>
          <w:szCs w:val="28"/>
        </w:rPr>
      </w:pPr>
      <w:r w:rsidRPr="00627880">
        <w:rPr>
          <w:rFonts w:eastAsia="Times New Roman" w:cs="Times New Roman"/>
          <w:szCs w:val="28"/>
        </w:rPr>
        <w:t>a) </w:t>
      </w:r>
      <w:r w:rsidRPr="00627880">
        <w:rPr>
          <w:rFonts w:eastAsia="Times New Roman" w:cs="Times New Roman"/>
          <w:szCs w:val="28"/>
          <w:lang w:val="vi-VN"/>
        </w:rPr>
        <w:t>Tổ chức tuyên truyền thông qua hệ thống mạng lưới cơ sở và hội viên Hội Khuyến học các cấp; thông qua hệ thống báo chí của Hội Khuyến học Việt Nam;</w:t>
      </w:r>
    </w:p>
    <w:p w:rsidR="00627880" w:rsidRPr="00627880" w:rsidRDefault="00627880" w:rsidP="00AB4B8D">
      <w:pPr>
        <w:shd w:val="clear" w:color="auto" w:fill="FFFFFF"/>
        <w:spacing w:before="120" w:after="120" w:line="380" w:lineRule="exact"/>
        <w:ind w:firstLine="720"/>
        <w:jc w:val="both"/>
        <w:rPr>
          <w:rFonts w:eastAsia="Times New Roman" w:cs="Times New Roman"/>
          <w:szCs w:val="28"/>
        </w:rPr>
      </w:pPr>
      <w:r w:rsidRPr="00627880">
        <w:rPr>
          <w:rFonts w:eastAsia="Times New Roman" w:cs="Times New Roman"/>
          <w:szCs w:val="28"/>
        </w:rPr>
        <w:t>b) </w:t>
      </w:r>
      <w:r w:rsidRPr="00627880">
        <w:rPr>
          <w:rFonts w:eastAsia="Times New Roman" w:cs="Times New Roman"/>
          <w:szCs w:val="28"/>
          <w:lang w:val="vi-VN"/>
        </w:rPr>
        <w:t>Tổ chức tuyên truyền trên các phương tiện thông tin đại chúng của Trung ương và địa phương;</w:t>
      </w:r>
    </w:p>
    <w:p w:rsidR="00627880" w:rsidRPr="00627880" w:rsidRDefault="00627880" w:rsidP="00AB4B8D">
      <w:pPr>
        <w:shd w:val="clear" w:color="auto" w:fill="FFFFFF"/>
        <w:spacing w:before="120" w:after="120" w:line="380" w:lineRule="exact"/>
        <w:ind w:firstLine="720"/>
        <w:jc w:val="both"/>
        <w:rPr>
          <w:rFonts w:eastAsia="Times New Roman" w:cs="Times New Roman"/>
          <w:szCs w:val="28"/>
        </w:rPr>
      </w:pPr>
      <w:r w:rsidRPr="00627880">
        <w:rPr>
          <w:rFonts w:eastAsia="Times New Roman" w:cs="Times New Roman"/>
          <w:szCs w:val="28"/>
        </w:rPr>
        <w:t>c) </w:t>
      </w:r>
      <w:r w:rsidRPr="00627880">
        <w:rPr>
          <w:rFonts w:eastAsia="Times New Roman" w:cs="Times New Roman"/>
          <w:szCs w:val="28"/>
          <w:lang w:val="vi-VN"/>
        </w:rPr>
        <w:t>Tổ chức tuyên truyền thông qua sự phối hợp với các tổ chức xã hội khác.</w:t>
      </w:r>
    </w:p>
    <w:p w:rsidR="00627880" w:rsidRPr="00627880" w:rsidRDefault="00627880" w:rsidP="00AB4B8D">
      <w:pPr>
        <w:shd w:val="clear" w:color="auto" w:fill="FFFFFF"/>
        <w:spacing w:before="120" w:after="120" w:line="380" w:lineRule="exact"/>
        <w:ind w:firstLine="720"/>
        <w:jc w:val="both"/>
        <w:rPr>
          <w:rFonts w:eastAsia="Times New Roman" w:cs="Times New Roman"/>
          <w:szCs w:val="28"/>
        </w:rPr>
      </w:pPr>
      <w:r w:rsidRPr="00627880">
        <w:rPr>
          <w:rFonts w:eastAsia="Times New Roman" w:cs="Times New Roman"/>
          <w:szCs w:val="28"/>
        </w:rPr>
        <w:t>3. </w:t>
      </w:r>
      <w:r w:rsidRPr="00627880">
        <w:rPr>
          <w:rFonts w:eastAsia="Times New Roman" w:cs="Times New Roman"/>
          <w:szCs w:val="28"/>
          <w:lang w:val="vi-VN"/>
        </w:rPr>
        <w:t>Phát động phong trào học tập suốt đời trong gia đình, dòng họ và cộng đồng:</w:t>
      </w:r>
    </w:p>
    <w:p w:rsidR="00627880" w:rsidRPr="00627880" w:rsidRDefault="00627880" w:rsidP="00AB4B8D">
      <w:pPr>
        <w:shd w:val="clear" w:color="auto" w:fill="FFFFFF"/>
        <w:spacing w:before="120" w:after="120" w:line="380" w:lineRule="exact"/>
        <w:ind w:firstLine="720"/>
        <w:jc w:val="both"/>
        <w:rPr>
          <w:rFonts w:eastAsia="Times New Roman" w:cs="Times New Roman"/>
          <w:szCs w:val="28"/>
        </w:rPr>
      </w:pPr>
      <w:r w:rsidRPr="00627880">
        <w:rPr>
          <w:rFonts w:eastAsia="Times New Roman" w:cs="Times New Roman"/>
          <w:szCs w:val="28"/>
        </w:rPr>
        <w:lastRenderedPageBreak/>
        <w:t>a) </w:t>
      </w:r>
      <w:r w:rsidRPr="00627880">
        <w:rPr>
          <w:rFonts w:eastAsia="Times New Roman" w:cs="Times New Roman"/>
          <w:szCs w:val="28"/>
          <w:lang w:val="vi-VN"/>
        </w:rPr>
        <w:t>Tổ chức Hội nghị quán triệt Quyết định số</w:t>
      </w:r>
      <w:hyperlink r:id="rId8" w:tgtFrame="_blank" w:history="1">
        <w:r w:rsidRPr="00627880">
          <w:rPr>
            <w:rFonts w:eastAsia="Times New Roman" w:cs="Times New Roman"/>
            <w:szCs w:val="28"/>
            <w:lang w:val="vi-VN"/>
          </w:rPr>
          <w:t> 89/QĐ-TTg</w:t>
        </w:r>
      </w:hyperlink>
      <w:r w:rsidRPr="00627880">
        <w:rPr>
          <w:rFonts w:eastAsia="Times New Roman" w:cs="Times New Roman"/>
          <w:szCs w:val="28"/>
          <w:lang w:val="vi-VN"/>
        </w:rPr>
        <w:t> của Thủ tướng Chính phủ ngày 09 tháng 01 năm 2013 về việc phê duyệt Đề án “Xây dựng xã hội học tập giai đoạn 2012-2020” và tiêu chí đánh giá Danh hiệu “Gia đình học tập”, “Dòng họ học tập” và “Cộng đồng học tập” cho các cấp Hội Khuyến học;</w:t>
      </w:r>
    </w:p>
    <w:p w:rsidR="00627880" w:rsidRPr="00627880" w:rsidRDefault="00627880" w:rsidP="00AB4B8D">
      <w:pPr>
        <w:shd w:val="clear" w:color="auto" w:fill="FFFFFF"/>
        <w:spacing w:before="120" w:after="120" w:line="380" w:lineRule="exact"/>
        <w:ind w:firstLine="720"/>
        <w:jc w:val="both"/>
        <w:rPr>
          <w:rFonts w:eastAsia="Times New Roman" w:cs="Times New Roman"/>
          <w:szCs w:val="28"/>
        </w:rPr>
      </w:pPr>
      <w:r w:rsidRPr="00627880">
        <w:rPr>
          <w:rFonts w:eastAsia="Times New Roman" w:cs="Times New Roman"/>
          <w:szCs w:val="28"/>
        </w:rPr>
        <w:t>b) </w:t>
      </w:r>
      <w:r w:rsidRPr="00627880">
        <w:rPr>
          <w:rFonts w:eastAsia="Times New Roman" w:cs="Times New Roman"/>
          <w:szCs w:val="28"/>
          <w:lang w:val="vi-VN"/>
        </w:rPr>
        <w:t>Tổ chức các Hội nghị triển khai nhân rộng các mô hình học tập suốt đời trong gia đình, dòng họ, cộng đồng;</w:t>
      </w:r>
    </w:p>
    <w:p w:rsidR="00627880" w:rsidRPr="00627880" w:rsidRDefault="00627880" w:rsidP="00AB4B8D">
      <w:pPr>
        <w:shd w:val="clear" w:color="auto" w:fill="FFFFFF"/>
        <w:spacing w:before="120" w:after="120" w:line="380" w:lineRule="exact"/>
        <w:ind w:firstLine="720"/>
        <w:jc w:val="both"/>
        <w:rPr>
          <w:rFonts w:eastAsia="Times New Roman" w:cs="Times New Roman"/>
          <w:szCs w:val="28"/>
        </w:rPr>
      </w:pPr>
      <w:r w:rsidRPr="00627880">
        <w:rPr>
          <w:rFonts w:eastAsia="Times New Roman" w:cs="Times New Roman"/>
          <w:szCs w:val="28"/>
        </w:rPr>
        <w:t>c) </w:t>
      </w:r>
      <w:r w:rsidRPr="00627880">
        <w:rPr>
          <w:rFonts w:eastAsia="Times New Roman" w:cs="Times New Roman"/>
          <w:szCs w:val="28"/>
          <w:lang w:val="vi-VN"/>
        </w:rPr>
        <w:t>Giám sát, kiểm tra việc nhân rộng các mô hình học tập suốt đời </w:t>
      </w:r>
      <w:r w:rsidRPr="00627880">
        <w:rPr>
          <w:rFonts w:eastAsia="Times New Roman" w:cs="Times New Roman"/>
          <w:szCs w:val="28"/>
        </w:rPr>
        <w:t>tr</w:t>
      </w:r>
      <w:r w:rsidRPr="00627880">
        <w:rPr>
          <w:rFonts w:eastAsia="Times New Roman" w:cs="Times New Roman"/>
          <w:szCs w:val="28"/>
          <w:lang w:val="vi-VN"/>
        </w:rPr>
        <w:t>ong gia đình, dòng họ, cộng đồng ở các địa phương trong toàn quốc và tổ chức các Hội nghị sơ kết việc triển khai nhân rộng các mô hình học tập suốt đời trong gia đình, dòng họ, cộng đồng;</w:t>
      </w:r>
    </w:p>
    <w:p w:rsidR="00627880" w:rsidRPr="00627880" w:rsidRDefault="00627880" w:rsidP="00AB4B8D">
      <w:pPr>
        <w:shd w:val="clear" w:color="auto" w:fill="FFFFFF"/>
        <w:spacing w:before="120" w:after="120" w:line="380" w:lineRule="exact"/>
        <w:ind w:firstLine="720"/>
        <w:jc w:val="both"/>
        <w:rPr>
          <w:rFonts w:eastAsia="Times New Roman" w:cs="Times New Roman"/>
          <w:szCs w:val="28"/>
        </w:rPr>
      </w:pPr>
      <w:r w:rsidRPr="00627880">
        <w:rPr>
          <w:rFonts w:eastAsia="Times New Roman" w:cs="Times New Roman"/>
          <w:szCs w:val="28"/>
        </w:rPr>
        <w:t>d) </w:t>
      </w:r>
      <w:r w:rsidRPr="00627880">
        <w:rPr>
          <w:rFonts w:eastAsia="Times New Roman" w:cs="Times New Roman"/>
          <w:szCs w:val="28"/>
          <w:lang w:val="vi-VN"/>
        </w:rPr>
        <w:t>Tổ chức Đại hội biểu dương các gia đình, dòng họ, cộng đồng, đơn vị đạt Danh hiệu “Gia đình học tập”, “Dòng họ học lập”, “Cộng đồng học tập” và “Đơn vị học tập” tiêu biểu toàn quốc và ở các tỉnh, thành phố trực thuộc trung ương;</w:t>
      </w:r>
    </w:p>
    <w:p w:rsidR="00627880" w:rsidRPr="00627880" w:rsidRDefault="00627880" w:rsidP="00AB4B8D">
      <w:pPr>
        <w:shd w:val="clear" w:color="auto" w:fill="FFFFFF"/>
        <w:spacing w:before="120" w:after="120" w:line="380" w:lineRule="exact"/>
        <w:ind w:firstLine="720"/>
        <w:jc w:val="both"/>
        <w:rPr>
          <w:rFonts w:eastAsia="Times New Roman" w:cs="Times New Roman"/>
          <w:szCs w:val="28"/>
        </w:rPr>
      </w:pPr>
      <w:r w:rsidRPr="00627880">
        <w:rPr>
          <w:rFonts w:eastAsia="Times New Roman" w:cs="Times New Roman"/>
          <w:szCs w:val="28"/>
        </w:rPr>
        <w:t>4. </w:t>
      </w:r>
      <w:r w:rsidRPr="00627880">
        <w:rPr>
          <w:rFonts w:eastAsia="Times New Roman" w:cs="Times New Roman"/>
          <w:szCs w:val="28"/>
          <w:lang w:val="vi-VN"/>
        </w:rPr>
        <w:t>Duy trì, củng cố và nâng cao chất lượng, hiệu quả hoạt động của Trung tâm học tập cộng đồng, góp phần đẩy mạnh phong trào học tập suốt đờ</w:t>
      </w:r>
      <w:r w:rsidRPr="00627880">
        <w:rPr>
          <w:rFonts w:eastAsia="Times New Roman" w:cs="Times New Roman"/>
          <w:szCs w:val="28"/>
        </w:rPr>
        <w:t>i </w:t>
      </w:r>
      <w:r w:rsidRPr="00627880">
        <w:rPr>
          <w:rFonts w:eastAsia="Times New Roman" w:cs="Times New Roman"/>
          <w:szCs w:val="28"/>
          <w:lang w:val="vi-VN"/>
        </w:rPr>
        <w:t>trong gia đình, dòng họ, cộng đồng:</w:t>
      </w:r>
    </w:p>
    <w:p w:rsidR="00627880" w:rsidRPr="00627880" w:rsidRDefault="00627880" w:rsidP="00AB4B8D">
      <w:pPr>
        <w:shd w:val="clear" w:color="auto" w:fill="FFFFFF"/>
        <w:spacing w:before="120" w:after="120" w:line="380" w:lineRule="exact"/>
        <w:ind w:firstLine="720"/>
        <w:jc w:val="both"/>
        <w:rPr>
          <w:rFonts w:eastAsia="Times New Roman" w:cs="Times New Roman"/>
          <w:szCs w:val="28"/>
        </w:rPr>
      </w:pPr>
      <w:r w:rsidRPr="00627880">
        <w:rPr>
          <w:rFonts w:eastAsia="Times New Roman" w:cs="Times New Roman"/>
          <w:szCs w:val="28"/>
        </w:rPr>
        <w:t>a) </w:t>
      </w:r>
      <w:r w:rsidRPr="00627880">
        <w:rPr>
          <w:rFonts w:eastAsia="Times New Roman" w:cs="Times New Roman"/>
          <w:szCs w:val="28"/>
          <w:lang w:val="vi-VN"/>
        </w:rPr>
        <w:t>Xây dựng chương trình, biên soạn, in ấn tài liệu và tổ chức tập huấn nâng cao năng lực quản lý, điều hành và tổ chức hoạt động tại Trung tâm học tập cộng đồng cho đội ngũ cán bộ, hội viên Hội Khuyến học các cấp tham gia quản lý và giảng dạy tại các Trung tâm học tập cộng đồng;</w:t>
      </w:r>
    </w:p>
    <w:p w:rsidR="00627880" w:rsidRPr="00627880" w:rsidRDefault="00627880" w:rsidP="00AB4B8D">
      <w:pPr>
        <w:shd w:val="clear" w:color="auto" w:fill="FFFFFF"/>
        <w:spacing w:before="120" w:after="120" w:line="380" w:lineRule="exact"/>
        <w:ind w:firstLine="720"/>
        <w:jc w:val="both"/>
        <w:rPr>
          <w:rFonts w:eastAsia="Times New Roman" w:cs="Times New Roman"/>
          <w:szCs w:val="28"/>
        </w:rPr>
      </w:pPr>
      <w:r w:rsidRPr="00627880">
        <w:rPr>
          <w:rFonts w:eastAsia="Times New Roman" w:cs="Times New Roman"/>
          <w:szCs w:val="28"/>
        </w:rPr>
        <w:t>b) </w:t>
      </w:r>
      <w:r w:rsidRPr="00627880">
        <w:rPr>
          <w:rFonts w:eastAsia="Times New Roman" w:cs="Times New Roman"/>
          <w:szCs w:val="28"/>
          <w:lang w:val="vi-VN"/>
        </w:rPr>
        <w:t>Tập huấn và </w:t>
      </w:r>
      <w:r w:rsidRPr="00627880">
        <w:rPr>
          <w:rFonts w:eastAsia="Times New Roman" w:cs="Times New Roman"/>
          <w:szCs w:val="28"/>
        </w:rPr>
        <w:t>tr</w:t>
      </w:r>
      <w:r w:rsidRPr="00627880">
        <w:rPr>
          <w:rFonts w:eastAsia="Times New Roman" w:cs="Times New Roman"/>
          <w:szCs w:val="28"/>
          <w:lang w:val="vi-VN"/>
        </w:rPr>
        <w:t>iển khai ứng dụng công nghệ thông tin trong điều hành, quản lý Trung tâm học tập cộng đồng.</w:t>
      </w:r>
    </w:p>
    <w:p w:rsidR="00627880" w:rsidRPr="00627880" w:rsidRDefault="00627880" w:rsidP="00AB4B8D">
      <w:pPr>
        <w:shd w:val="clear" w:color="auto" w:fill="FFFFFF"/>
        <w:spacing w:before="120" w:after="120" w:line="380" w:lineRule="exact"/>
        <w:ind w:firstLine="720"/>
        <w:jc w:val="both"/>
        <w:rPr>
          <w:rFonts w:eastAsia="Times New Roman" w:cs="Times New Roman"/>
          <w:szCs w:val="28"/>
        </w:rPr>
      </w:pPr>
      <w:r w:rsidRPr="00627880">
        <w:rPr>
          <w:rFonts w:eastAsia="Times New Roman" w:cs="Times New Roman"/>
          <w:szCs w:val="28"/>
        </w:rPr>
        <w:t>5. </w:t>
      </w:r>
      <w:r w:rsidRPr="00627880">
        <w:rPr>
          <w:rFonts w:eastAsia="Times New Roman" w:cs="Times New Roman"/>
          <w:szCs w:val="28"/>
          <w:lang w:val="vi-VN"/>
        </w:rPr>
        <w:t>Tổ chức đánh giá, công nhận Danh hiệu “Gia đình học tập”, “Dòng họ học tập”, “Cộng đồng học tập” và “Đơn vị học tập”:</w:t>
      </w:r>
    </w:p>
    <w:p w:rsidR="00627880" w:rsidRPr="00627880" w:rsidRDefault="00627880" w:rsidP="00AB4B8D">
      <w:pPr>
        <w:shd w:val="clear" w:color="auto" w:fill="FFFFFF"/>
        <w:spacing w:before="120" w:after="120" w:line="380" w:lineRule="exact"/>
        <w:ind w:firstLine="720"/>
        <w:jc w:val="both"/>
        <w:rPr>
          <w:rFonts w:eastAsia="Times New Roman" w:cs="Times New Roman"/>
          <w:szCs w:val="28"/>
        </w:rPr>
      </w:pPr>
      <w:r w:rsidRPr="00627880">
        <w:rPr>
          <w:rFonts w:eastAsia="Times New Roman" w:cs="Times New Roman"/>
          <w:szCs w:val="28"/>
        </w:rPr>
        <w:t>a) </w:t>
      </w:r>
      <w:r w:rsidRPr="00627880">
        <w:rPr>
          <w:rFonts w:eastAsia="Times New Roman" w:cs="Times New Roman"/>
          <w:szCs w:val="28"/>
          <w:lang w:val="vi-VN"/>
        </w:rPr>
        <w:t>Xây dựng Bộ tiêu chí đánh giá, công nhận các Danh hiệu;</w:t>
      </w:r>
    </w:p>
    <w:p w:rsidR="00627880" w:rsidRPr="00627880" w:rsidRDefault="00627880" w:rsidP="00AB4B8D">
      <w:pPr>
        <w:shd w:val="clear" w:color="auto" w:fill="FFFFFF"/>
        <w:spacing w:before="120" w:after="120" w:line="380" w:lineRule="exact"/>
        <w:ind w:firstLine="720"/>
        <w:jc w:val="both"/>
        <w:rPr>
          <w:rFonts w:eastAsia="Times New Roman" w:cs="Times New Roman"/>
          <w:szCs w:val="28"/>
        </w:rPr>
      </w:pPr>
      <w:r w:rsidRPr="00627880">
        <w:rPr>
          <w:rFonts w:eastAsia="Times New Roman" w:cs="Times New Roman"/>
          <w:szCs w:val="28"/>
        </w:rPr>
        <w:t>b) </w:t>
      </w:r>
      <w:r w:rsidRPr="00627880">
        <w:rPr>
          <w:rFonts w:eastAsia="Times New Roman" w:cs="Times New Roman"/>
          <w:szCs w:val="28"/>
          <w:lang w:val="vi-VN"/>
        </w:rPr>
        <w:t>Biên soạn và </w:t>
      </w:r>
      <w:r w:rsidRPr="00627880">
        <w:rPr>
          <w:rFonts w:eastAsia="Times New Roman" w:cs="Times New Roman"/>
          <w:szCs w:val="28"/>
        </w:rPr>
        <w:t>in </w:t>
      </w:r>
      <w:r w:rsidRPr="00627880">
        <w:rPr>
          <w:rFonts w:eastAsia="Times New Roman" w:cs="Times New Roman"/>
          <w:szCs w:val="28"/>
          <w:lang w:val="vi-VN"/>
        </w:rPr>
        <w:t>ấn tài liệu hướng dẫn đánh giá, công nhận các Danh hiệu;</w:t>
      </w:r>
    </w:p>
    <w:p w:rsidR="00627880" w:rsidRPr="00627880" w:rsidRDefault="00627880" w:rsidP="00AB4B8D">
      <w:pPr>
        <w:shd w:val="clear" w:color="auto" w:fill="FFFFFF"/>
        <w:spacing w:before="120" w:after="120" w:line="380" w:lineRule="exact"/>
        <w:ind w:firstLine="720"/>
        <w:jc w:val="both"/>
        <w:rPr>
          <w:rFonts w:eastAsia="Times New Roman" w:cs="Times New Roman"/>
          <w:szCs w:val="28"/>
        </w:rPr>
      </w:pPr>
      <w:r w:rsidRPr="00627880">
        <w:rPr>
          <w:rFonts w:eastAsia="Times New Roman" w:cs="Times New Roman"/>
          <w:szCs w:val="28"/>
        </w:rPr>
        <w:t>c) </w:t>
      </w:r>
      <w:r w:rsidRPr="00627880">
        <w:rPr>
          <w:rFonts w:eastAsia="Times New Roman" w:cs="Times New Roman"/>
          <w:szCs w:val="28"/>
          <w:lang w:val="vi-VN"/>
        </w:rPr>
        <w:t>Tập huấn tổ chức đánh giá, công nhận các Danh hiệu;</w:t>
      </w:r>
    </w:p>
    <w:p w:rsidR="00627880" w:rsidRPr="00627880" w:rsidRDefault="00627880" w:rsidP="00AB4B8D">
      <w:pPr>
        <w:shd w:val="clear" w:color="auto" w:fill="FFFFFF"/>
        <w:spacing w:before="120" w:after="120" w:line="380" w:lineRule="exact"/>
        <w:ind w:firstLine="720"/>
        <w:jc w:val="both"/>
        <w:rPr>
          <w:rFonts w:eastAsia="Times New Roman" w:cs="Times New Roman"/>
          <w:szCs w:val="28"/>
        </w:rPr>
      </w:pPr>
      <w:r w:rsidRPr="00627880">
        <w:rPr>
          <w:rFonts w:eastAsia="Times New Roman" w:cs="Times New Roman"/>
          <w:szCs w:val="28"/>
        </w:rPr>
        <w:t>d) </w:t>
      </w:r>
      <w:r w:rsidRPr="00627880">
        <w:rPr>
          <w:rFonts w:eastAsia="Times New Roman" w:cs="Times New Roman"/>
          <w:szCs w:val="28"/>
          <w:lang w:val="vi-VN"/>
        </w:rPr>
        <w:t>Tổ chức đánh giá, công nhận các Danh hiệu.</w:t>
      </w:r>
    </w:p>
    <w:p w:rsidR="00627880" w:rsidRPr="00627880" w:rsidRDefault="00627880" w:rsidP="00AB4B8D">
      <w:pPr>
        <w:shd w:val="clear" w:color="auto" w:fill="FFFFFF"/>
        <w:spacing w:before="120" w:after="120" w:line="380" w:lineRule="exact"/>
        <w:ind w:firstLine="720"/>
        <w:jc w:val="both"/>
        <w:rPr>
          <w:rFonts w:eastAsia="Times New Roman" w:cs="Times New Roman"/>
          <w:szCs w:val="28"/>
        </w:rPr>
      </w:pPr>
      <w:r w:rsidRPr="00627880">
        <w:rPr>
          <w:rFonts w:eastAsia="Times New Roman" w:cs="Times New Roman"/>
          <w:b/>
          <w:bCs/>
          <w:szCs w:val="28"/>
        </w:rPr>
        <w:t>III</w:t>
      </w:r>
      <w:r w:rsidRPr="00627880">
        <w:rPr>
          <w:rFonts w:eastAsia="Times New Roman" w:cs="Times New Roman"/>
          <w:b/>
          <w:bCs/>
          <w:szCs w:val="28"/>
          <w:lang w:val="vi-VN"/>
        </w:rPr>
        <w:t>. KINH PHÍ THỰC HIỆN Đ</w:t>
      </w:r>
      <w:r w:rsidRPr="00627880">
        <w:rPr>
          <w:rFonts w:eastAsia="Times New Roman" w:cs="Times New Roman"/>
          <w:b/>
          <w:bCs/>
          <w:szCs w:val="28"/>
        </w:rPr>
        <w:t>Ề</w:t>
      </w:r>
      <w:r w:rsidRPr="00627880">
        <w:rPr>
          <w:rFonts w:eastAsia="Times New Roman" w:cs="Times New Roman"/>
          <w:b/>
          <w:bCs/>
          <w:szCs w:val="28"/>
          <w:lang w:val="vi-VN"/>
        </w:rPr>
        <w:t> ÁN</w:t>
      </w:r>
    </w:p>
    <w:p w:rsidR="00627880" w:rsidRPr="00627880" w:rsidRDefault="00627880" w:rsidP="00AB4B8D">
      <w:pPr>
        <w:shd w:val="clear" w:color="auto" w:fill="FFFFFF"/>
        <w:spacing w:before="120" w:after="120" w:line="380" w:lineRule="exact"/>
        <w:ind w:firstLine="720"/>
        <w:jc w:val="both"/>
        <w:rPr>
          <w:rFonts w:eastAsia="Times New Roman" w:cs="Times New Roman"/>
          <w:szCs w:val="28"/>
        </w:rPr>
      </w:pPr>
      <w:r w:rsidRPr="00627880">
        <w:rPr>
          <w:rFonts w:eastAsia="Times New Roman" w:cs="Times New Roman"/>
          <w:szCs w:val="28"/>
        </w:rPr>
        <w:lastRenderedPageBreak/>
        <w:t>1. </w:t>
      </w:r>
      <w:r w:rsidRPr="00627880">
        <w:rPr>
          <w:rFonts w:eastAsia="Times New Roman" w:cs="Times New Roman"/>
          <w:szCs w:val="28"/>
          <w:lang w:val="vi-VN"/>
        </w:rPr>
        <w:t xml:space="preserve">Kinh phí thực hiện Đề án bao gồm: Ngân sách nhà nước </w:t>
      </w:r>
      <w:proofErr w:type="gramStart"/>
      <w:r w:rsidRPr="00627880">
        <w:rPr>
          <w:rFonts w:eastAsia="Times New Roman" w:cs="Times New Roman"/>
          <w:szCs w:val="28"/>
          <w:lang w:val="vi-VN"/>
        </w:rPr>
        <w:t>theo</w:t>
      </w:r>
      <w:proofErr w:type="gramEnd"/>
      <w:r w:rsidRPr="00627880">
        <w:rPr>
          <w:rFonts w:eastAsia="Times New Roman" w:cs="Times New Roman"/>
          <w:szCs w:val="28"/>
          <w:lang w:val="vi-VN"/>
        </w:rPr>
        <w:t xml:space="preserve"> phân cấp Ngân sách nhà nước hiện hành (Ngân sách trung ương, Ngân sách địa phương) được cấp cho Hội có tính chất đặc thù và các nguồn tài chính hợp pháp khác.</w:t>
      </w:r>
    </w:p>
    <w:p w:rsidR="00627880" w:rsidRPr="00627880" w:rsidRDefault="00627880" w:rsidP="00AB4B8D">
      <w:pPr>
        <w:shd w:val="clear" w:color="auto" w:fill="FFFFFF"/>
        <w:spacing w:before="120" w:after="120" w:line="380" w:lineRule="exact"/>
        <w:ind w:firstLine="720"/>
        <w:jc w:val="both"/>
        <w:rPr>
          <w:rFonts w:eastAsia="Times New Roman" w:cs="Times New Roman"/>
          <w:szCs w:val="28"/>
        </w:rPr>
      </w:pPr>
      <w:r w:rsidRPr="00627880">
        <w:rPr>
          <w:rFonts w:eastAsia="Times New Roman" w:cs="Times New Roman"/>
          <w:szCs w:val="28"/>
        </w:rPr>
        <w:t>2. </w:t>
      </w:r>
      <w:r w:rsidRPr="00627880">
        <w:rPr>
          <w:rFonts w:eastAsia="Times New Roman" w:cs="Times New Roman"/>
          <w:szCs w:val="28"/>
          <w:lang w:val="vi-VN"/>
        </w:rPr>
        <w:t>Căn cứ các nhiệm vụ được giao, hằng năm Hội Khuyến học các cấp lập dự toán kinh phí thực hiện và tổng h</w:t>
      </w:r>
      <w:r w:rsidRPr="00627880">
        <w:rPr>
          <w:rFonts w:eastAsia="Times New Roman" w:cs="Times New Roman"/>
          <w:szCs w:val="28"/>
        </w:rPr>
        <w:t>ợ</w:t>
      </w:r>
      <w:r w:rsidRPr="00627880">
        <w:rPr>
          <w:rFonts w:eastAsia="Times New Roman" w:cs="Times New Roman"/>
          <w:szCs w:val="28"/>
          <w:lang w:val="vi-VN"/>
        </w:rPr>
        <w:t xml:space="preserve">p </w:t>
      </w:r>
      <w:proofErr w:type="gramStart"/>
      <w:r w:rsidRPr="00627880">
        <w:rPr>
          <w:rFonts w:eastAsia="Times New Roman" w:cs="Times New Roman"/>
          <w:szCs w:val="28"/>
          <w:lang w:val="vi-VN"/>
        </w:rPr>
        <w:t>chung</w:t>
      </w:r>
      <w:proofErr w:type="gramEnd"/>
      <w:r w:rsidRPr="00627880">
        <w:rPr>
          <w:rFonts w:eastAsia="Times New Roman" w:cs="Times New Roman"/>
          <w:szCs w:val="28"/>
          <w:lang w:val="vi-VN"/>
        </w:rPr>
        <w:t xml:space="preserve"> vào dự toán chi Ngân sách nhà nước cấp cho hoạt động của Hội, gửi cơ quan tài chính cùng cấp để bố trí kinh phí thực hiện theo quy định.</w:t>
      </w:r>
    </w:p>
    <w:p w:rsidR="00627880" w:rsidRPr="00627880" w:rsidRDefault="00627880" w:rsidP="00AB4B8D">
      <w:pPr>
        <w:shd w:val="clear" w:color="auto" w:fill="FFFFFF"/>
        <w:spacing w:before="120" w:after="120" w:line="380" w:lineRule="exact"/>
        <w:ind w:firstLine="720"/>
        <w:jc w:val="both"/>
        <w:rPr>
          <w:rFonts w:eastAsia="Times New Roman" w:cs="Times New Roman"/>
          <w:szCs w:val="28"/>
        </w:rPr>
      </w:pPr>
      <w:r w:rsidRPr="00627880">
        <w:rPr>
          <w:rFonts w:eastAsia="Times New Roman" w:cs="Times New Roman"/>
          <w:szCs w:val="28"/>
        </w:rPr>
        <w:t>3. </w:t>
      </w:r>
      <w:r w:rsidRPr="00627880">
        <w:rPr>
          <w:rFonts w:eastAsia="Times New Roman" w:cs="Times New Roman"/>
          <w:szCs w:val="28"/>
          <w:lang w:val="vi-VN"/>
        </w:rPr>
        <w:t>Các địa phương có trách nhiệm cân đối ngân sách dành kinh phí hỗ trợ việc xây dựng và thí điểm các mô hình học tập suốt đ</w:t>
      </w:r>
      <w:r w:rsidRPr="00627880">
        <w:rPr>
          <w:rFonts w:eastAsia="Times New Roman" w:cs="Times New Roman"/>
          <w:szCs w:val="28"/>
        </w:rPr>
        <w:t>ời</w:t>
      </w:r>
      <w:r w:rsidRPr="00627880">
        <w:rPr>
          <w:rFonts w:eastAsia="Times New Roman" w:cs="Times New Roman"/>
          <w:szCs w:val="28"/>
          <w:lang w:val="vi-VN"/>
        </w:rPr>
        <w:t>, tổ chức tập huấn, tuyên truyền, nhân rộng, giám sát, đánh giá, khen thưởng các cá nhân, gia đình, dòng họ, cộng đồng, các tổ chức có thành tích hoặc có đóng góp tích cực đối với phong trào học tập suốt đời trong gia đình, dòng họ, cộng đồng và tổ chức đánh giá, công nhận các Danh hiệu “Gia đình học tập”, “Dòng họ học tập”, “Cộng đồng học tập” và “Đ</w:t>
      </w:r>
      <w:r w:rsidRPr="00627880">
        <w:rPr>
          <w:rFonts w:eastAsia="Times New Roman" w:cs="Times New Roman"/>
          <w:szCs w:val="28"/>
        </w:rPr>
        <w:t>ơn </w:t>
      </w:r>
      <w:r w:rsidRPr="00627880">
        <w:rPr>
          <w:rFonts w:eastAsia="Times New Roman" w:cs="Times New Roman"/>
          <w:szCs w:val="28"/>
          <w:lang w:val="vi-VN"/>
        </w:rPr>
        <w:t>vị học tập” tại địa phương mình.</w:t>
      </w:r>
    </w:p>
    <w:p w:rsidR="00627880" w:rsidRPr="00627880" w:rsidRDefault="00627880" w:rsidP="00AB4B8D">
      <w:pPr>
        <w:shd w:val="clear" w:color="auto" w:fill="FFFFFF"/>
        <w:spacing w:before="120" w:after="120" w:line="380" w:lineRule="exact"/>
        <w:ind w:firstLine="720"/>
        <w:jc w:val="both"/>
        <w:rPr>
          <w:rFonts w:eastAsia="Times New Roman" w:cs="Times New Roman"/>
          <w:szCs w:val="28"/>
        </w:rPr>
      </w:pPr>
      <w:r w:rsidRPr="00627880">
        <w:rPr>
          <w:rFonts w:eastAsia="Times New Roman" w:cs="Times New Roman"/>
          <w:b/>
          <w:bCs/>
          <w:szCs w:val="28"/>
          <w:lang w:val="vi-VN"/>
        </w:rPr>
        <w:t>IV. TỔ CHỨC THỰC HIỆN ĐỀ ÁN</w:t>
      </w:r>
    </w:p>
    <w:p w:rsidR="00627880" w:rsidRPr="00627880" w:rsidRDefault="00627880" w:rsidP="00AB4B8D">
      <w:pPr>
        <w:shd w:val="clear" w:color="auto" w:fill="FFFFFF"/>
        <w:spacing w:before="120" w:after="120" w:line="380" w:lineRule="exact"/>
        <w:ind w:firstLine="720"/>
        <w:jc w:val="both"/>
        <w:rPr>
          <w:rFonts w:eastAsia="Times New Roman" w:cs="Times New Roman"/>
          <w:szCs w:val="28"/>
        </w:rPr>
      </w:pPr>
      <w:r w:rsidRPr="00627880">
        <w:rPr>
          <w:rFonts w:eastAsia="Times New Roman" w:cs="Times New Roman"/>
          <w:szCs w:val="28"/>
        </w:rPr>
        <w:t>1. </w:t>
      </w:r>
      <w:r w:rsidRPr="00627880">
        <w:rPr>
          <w:rFonts w:eastAsia="Times New Roman" w:cs="Times New Roman"/>
          <w:szCs w:val="28"/>
          <w:lang w:val="vi-VN"/>
        </w:rPr>
        <w:t>Hội Khuyến học Việt Nam:</w:t>
      </w:r>
    </w:p>
    <w:p w:rsidR="00627880" w:rsidRPr="00627880" w:rsidRDefault="00627880" w:rsidP="00AB4B8D">
      <w:pPr>
        <w:shd w:val="clear" w:color="auto" w:fill="FFFFFF"/>
        <w:spacing w:before="120" w:after="120" w:line="380" w:lineRule="exact"/>
        <w:ind w:firstLine="720"/>
        <w:jc w:val="both"/>
        <w:rPr>
          <w:rFonts w:eastAsia="Times New Roman" w:cs="Times New Roman"/>
          <w:szCs w:val="28"/>
        </w:rPr>
      </w:pPr>
      <w:r w:rsidRPr="00627880">
        <w:rPr>
          <w:rFonts w:eastAsia="Times New Roman" w:cs="Times New Roman"/>
          <w:szCs w:val="28"/>
        </w:rPr>
        <w:t>a) </w:t>
      </w:r>
      <w:r w:rsidRPr="00627880">
        <w:rPr>
          <w:rFonts w:eastAsia="Times New Roman" w:cs="Times New Roman"/>
          <w:szCs w:val="28"/>
          <w:lang w:val="vi-VN"/>
        </w:rPr>
        <w:t>Chủ trì, phối hợp với các Bộ, ngành, các tổ chức chính trị - xã hội, các tổ chức xã hội - nghề nghiệp, các tổ chức xã hội có liên quan để xây dựng kế hoạch và tổ chức triển khai thực hiện Đề án;</w:t>
      </w:r>
    </w:p>
    <w:p w:rsidR="00627880" w:rsidRPr="00627880" w:rsidRDefault="00627880" w:rsidP="00AB4B8D">
      <w:pPr>
        <w:shd w:val="clear" w:color="auto" w:fill="FFFFFF"/>
        <w:spacing w:before="120" w:after="120" w:line="380" w:lineRule="exact"/>
        <w:ind w:firstLine="720"/>
        <w:jc w:val="both"/>
        <w:rPr>
          <w:rFonts w:eastAsia="Times New Roman" w:cs="Times New Roman"/>
          <w:szCs w:val="28"/>
        </w:rPr>
      </w:pPr>
      <w:r w:rsidRPr="00627880">
        <w:rPr>
          <w:rFonts w:eastAsia="Times New Roman" w:cs="Times New Roman"/>
          <w:szCs w:val="28"/>
        </w:rPr>
        <w:t>b) </w:t>
      </w:r>
      <w:r w:rsidRPr="00627880">
        <w:rPr>
          <w:rFonts w:eastAsia="Times New Roman" w:cs="Times New Roman"/>
          <w:szCs w:val="28"/>
          <w:lang w:val="vi-VN"/>
        </w:rPr>
        <w:t>Chỉ đạo, </w:t>
      </w:r>
      <w:r w:rsidRPr="00627880">
        <w:rPr>
          <w:rFonts w:eastAsia="Times New Roman" w:cs="Times New Roman"/>
          <w:szCs w:val="28"/>
        </w:rPr>
        <w:t>hướng dẫn </w:t>
      </w:r>
      <w:r w:rsidRPr="00627880">
        <w:rPr>
          <w:rFonts w:eastAsia="Times New Roman" w:cs="Times New Roman"/>
          <w:szCs w:val="28"/>
          <w:lang w:val="vi-VN"/>
        </w:rPr>
        <w:t xml:space="preserve">các Hội Khuyến học địa phương xây dựng kế hoạch và triển khai Đề </w:t>
      </w:r>
      <w:proofErr w:type="gramStart"/>
      <w:r w:rsidRPr="00627880">
        <w:rPr>
          <w:rFonts w:eastAsia="Times New Roman" w:cs="Times New Roman"/>
          <w:szCs w:val="28"/>
          <w:lang w:val="vi-VN"/>
        </w:rPr>
        <w:t>án</w:t>
      </w:r>
      <w:proofErr w:type="gramEnd"/>
      <w:r w:rsidRPr="00627880">
        <w:rPr>
          <w:rFonts w:eastAsia="Times New Roman" w:cs="Times New Roman"/>
          <w:szCs w:val="28"/>
          <w:lang w:val="vi-VN"/>
        </w:rPr>
        <w:t xml:space="preserve"> ở địa phương;</w:t>
      </w:r>
    </w:p>
    <w:p w:rsidR="00627880" w:rsidRPr="00627880" w:rsidRDefault="00627880" w:rsidP="00AB4B8D">
      <w:pPr>
        <w:shd w:val="clear" w:color="auto" w:fill="FFFFFF"/>
        <w:spacing w:before="120" w:after="120" w:line="380" w:lineRule="exact"/>
        <w:ind w:firstLine="720"/>
        <w:jc w:val="both"/>
        <w:rPr>
          <w:rFonts w:eastAsia="Times New Roman" w:cs="Times New Roman"/>
          <w:szCs w:val="28"/>
        </w:rPr>
      </w:pPr>
      <w:r w:rsidRPr="00627880">
        <w:rPr>
          <w:rFonts w:eastAsia="Times New Roman" w:cs="Times New Roman"/>
          <w:szCs w:val="28"/>
        </w:rPr>
        <w:t>c) </w:t>
      </w:r>
      <w:r w:rsidRPr="00627880">
        <w:rPr>
          <w:rFonts w:eastAsia="Times New Roman" w:cs="Times New Roman"/>
          <w:szCs w:val="28"/>
          <w:lang w:val="vi-VN"/>
        </w:rPr>
        <w:t>Kiểm </w:t>
      </w:r>
      <w:r w:rsidRPr="00627880">
        <w:rPr>
          <w:rFonts w:eastAsia="Times New Roman" w:cs="Times New Roman"/>
          <w:szCs w:val="28"/>
        </w:rPr>
        <w:t>tr</w:t>
      </w:r>
      <w:r w:rsidRPr="00627880">
        <w:rPr>
          <w:rFonts w:eastAsia="Times New Roman" w:cs="Times New Roman"/>
          <w:szCs w:val="28"/>
          <w:lang w:val="vi-VN"/>
        </w:rPr>
        <w:t xml:space="preserve">a, giám sát, đánh giá hiệu quả việc triển khai thực hiện Đề </w:t>
      </w:r>
      <w:proofErr w:type="gramStart"/>
      <w:r w:rsidRPr="00627880">
        <w:rPr>
          <w:rFonts w:eastAsia="Times New Roman" w:cs="Times New Roman"/>
          <w:szCs w:val="28"/>
          <w:lang w:val="vi-VN"/>
        </w:rPr>
        <w:t>án</w:t>
      </w:r>
      <w:proofErr w:type="gramEnd"/>
      <w:r w:rsidRPr="00627880">
        <w:rPr>
          <w:rFonts w:eastAsia="Times New Roman" w:cs="Times New Roman"/>
          <w:szCs w:val="28"/>
          <w:lang w:val="vi-VN"/>
        </w:rPr>
        <w:t xml:space="preserve"> của các địa phương và định kỳ báo cáo Thủ tướng Chính phủ.</w:t>
      </w:r>
    </w:p>
    <w:p w:rsidR="00627880" w:rsidRPr="00627880" w:rsidRDefault="00627880" w:rsidP="00AB4B8D">
      <w:pPr>
        <w:shd w:val="clear" w:color="auto" w:fill="FFFFFF"/>
        <w:spacing w:before="120" w:after="120" w:line="380" w:lineRule="exact"/>
        <w:ind w:firstLine="720"/>
        <w:jc w:val="both"/>
        <w:rPr>
          <w:rFonts w:eastAsia="Times New Roman" w:cs="Times New Roman"/>
          <w:szCs w:val="28"/>
        </w:rPr>
      </w:pPr>
      <w:r w:rsidRPr="00627880">
        <w:rPr>
          <w:rFonts w:eastAsia="Times New Roman" w:cs="Times New Roman"/>
          <w:szCs w:val="28"/>
        </w:rPr>
        <w:t>2. </w:t>
      </w:r>
      <w:r w:rsidRPr="00627880">
        <w:rPr>
          <w:rFonts w:eastAsia="Times New Roman" w:cs="Times New Roman"/>
          <w:szCs w:val="28"/>
          <w:lang w:val="vi-VN"/>
        </w:rPr>
        <w:t>Bộ Giáo dục và Đào tạo:</w:t>
      </w:r>
    </w:p>
    <w:p w:rsidR="00627880" w:rsidRPr="00627880" w:rsidRDefault="00627880" w:rsidP="00AB4B8D">
      <w:pPr>
        <w:shd w:val="clear" w:color="auto" w:fill="FFFFFF"/>
        <w:spacing w:before="120" w:after="120" w:line="380" w:lineRule="exact"/>
        <w:ind w:firstLine="720"/>
        <w:jc w:val="both"/>
        <w:rPr>
          <w:rFonts w:eastAsia="Times New Roman" w:cs="Times New Roman"/>
          <w:szCs w:val="28"/>
        </w:rPr>
      </w:pPr>
      <w:r w:rsidRPr="00627880">
        <w:rPr>
          <w:rFonts w:eastAsia="Times New Roman" w:cs="Times New Roman"/>
          <w:szCs w:val="28"/>
        </w:rPr>
        <w:t>a) </w:t>
      </w:r>
      <w:r w:rsidRPr="00627880">
        <w:rPr>
          <w:rFonts w:eastAsia="Times New Roman" w:cs="Times New Roman"/>
          <w:szCs w:val="28"/>
          <w:lang w:val="vi-VN"/>
        </w:rPr>
        <w:t>Chủ trì, phối hợp với Hội Khuyến học Việt Nam củng cố và nâng cao chất lượng, hiệu quả hoạt động của Trung tâm học tập cộng đồng tại các địa phương;</w:t>
      </w:r>
    </w:p>
    <w:p w:rsidR="00627880" w:rsidRPr="00627880" w:rsidRDefault="00627880" w:rsidP="00AB4B8D">
      <w:pPr>
        <w:shd w:val="clear" w:color="auto" w:fill="FFFFFF"/>
        <w:spacing w:before="120" w:after="120" w:line="380" w:lineRule="exact"/>
        <w:ind w:firstLine="720"/>
        <w:jc w:val="both"/>
        <w:rPr>
          <w:rFonts w:eastAsia="Times New Roman" w:cs="Times New Roman"/>
          <w:szCs w:val="28"/>
        </w:rPr>
      </w:pPr>
      <w:r w:rsidRPr="00627880">
        <w:rPr>
          <w:rFonts w:eastAsia="Times New Roman" w:cs="Times New Roman"/>
          <w:szCs w:val="28"/>
        </w:rPr>
        <w:t>b) </w:t>
      </w:r>
      <w:r w:rsidRPr="00627880">
        <w:rPr>
          <w:rFonts w:eastAsia="Times New Roman" w:cs="Times New Roman"/>
          <w:szCs w:val="28"/>
          <w:lang w:val="vi-VN"/>
        </w:rPr>
        <w:t>Phối hợp với Hội Khuyến học Việt Nam tổ chức thí điểm và nhân rộng mô hình học tập suốt đời trong gia đình, dòng họ và cộng đồng;</w:t>
      </w:r>
    </w:p>
    <w:p w:rsidR="00627880" w:rsidRPr="00627880" w:rsidRDefault="00627880" w:rsidP="00AB4B8D">
      <w:pPr>
        <w:shd w:val="clear" w:color="auto" w:fill="FFFFFF"/>
        <w:spacing w:before="120" w:after="120" w:line="380" w:lineRule="exact"/>
        <w:ind w:firstLine="720"/>
        <w:jc w:val="both"/>
        <w:rPr>
          <w:rFonts w:eastAsia="Times New Roman" w:cs="Times New Roman"/>
          <w:szCs w:val="28"/>
        </w:rPr>
      </w:pPr>
      <w:r w:rsidRPr="00627880">
        <w:rPr>
          <w:rFonts w:eastAsia="Times New Roman" w:cs="Times New Roman"/>
          <w:szCs w:val="28"/>
        </w:rPr>
        <w:t>c) </w:t>
      </w:r>
      <w:r w:rsidRPr="00627880">
        <w:rPr>
          <w:rFonts w:eastAsia="Times New Roman" w:cs="Times New Roman"/>
          <w:szCs w:val="28"/>
          <w:lang w:val="vi-VN"/>
        </w:rPr>
        <w:t>Phối hợp với Hội Khuyến học Việt Nam tổ chức xây dựng bộ tiêu chí đánh giá, công nhận Danh hiệu “Gia đình học tập”, “Dòng họ học tập”, “Cộng đồng học tập” và “Đơn vị học tập”;</w:t>
      </w:r>
    </w:p>
    <w:p w:rsidR="00627880" w:rsidRPr="00627880" w:rsidRDefault="00627880" w:rsidP="00AB4B8D">
      <w:pPr>
        <w:shd w:val="clear" w:color="auto" w:fill="FFFFFF"/>
        <w:spacing w:before="120" w:after="120" w:line="380" w:lineRule="exact"/>
        <w:ind w:firstLine="720"/>
        <w:jc w:val="both"/>
        <w:rPr>
          <w:rFonts w:eastAsia="Times New Roman" w:cs="Times New Roman"/>
          <w:szCs w:val="28"/>
        </w:rPr>
      </w:pPr>
      <w:r w:rsidRPr="00627880">
        <w:rPr>
          <w:rFonts w:eastAsia="Times New Roman" w:cs="Times New Roman"/>
          <w:szCs w:val="28"/>
        </w:rPr>
        <w:lastRenderedPageBreak/>
        <w:t>3. </w:t>
      </w:r>
      <w:r w:rsidRPr="00627880">
        <w:rPr>
          <w:rFonts w:eastAsia="Times New Roman" w:cs="Times New Roman"/>
          <w:szCs w:val="28"/>
          <w:lang w:val="vi-VN"/>
        </w:rPr>
        <w:t>Bộ Thông tin và Truyền thông phối hợp với chặt chẽ với Hội Khuyến học Việt Nam trong việc tuyên truyền về các mô hình học tập suốt đời trong gia đình, dòng họ, cộng đồng thông qua các tổ chức, mạng lưới của mình.</w:t>
      </w:r>
    </w:p>
    <w:p w:rsidR="00627880" w:rsidRPr="00627880" w:rsidRDefault="00627880" w:rsidP="00AB4B8D">
      <w:pPr>
        <w:shd w:val="clear" w:color="auto" w:fill="FFFFFF"/>
        <w:spacing w:before="120" w:after="120" w:line="380" w:lineRule="exact"/>
        <w:ind w:firstLine="720"/>
        <w:jc w:val="both"/>
        <w:rPr>
          <w:rFonts w:eastAsia="Times New Roman" w:cs="Times New Roman"/>
          <w:szCs w:val="28"/>
        </w:rPr>
      </w:pPr>
      <w:r w:rsidRPr="00627880">
        <w:rPr>
          <w:rFonts w:eastAsia="Times New Roman" w:cs="Times New Roman"/>
          <w:szCs w:val="28"/>
        </w:rPr>
        <w:t>4. </w:t>
      </w:r>
      <w:r w:rsidRPr="00627880">
        <w:rPr>
          <w:rFonts w:eastAsia="Times New Roman" w:cs="Times New Roman"/>
          <w:szCs w:val="28"/>
          <w:lang w:val="vi-VN"/>
        </w:rPr>
        <w:t>Bộ Văn hóa, Thể thao và Du lịch phối hợp với Hội Khuyến học Việt Nam trong việc đánh giá, công nhận Danh hiệu “Gia đình học tập”, “Dòng họ học tập” và “Cộng đồng học tập” kết h</w:t>
      </w:r>
      <w:r w:rsidRPr="00627880">
        <w:rPr>
          <w:rFonts w:eastAsia="Times New Roman" w:cs="Times New Roman"/>
          <w:szCs w:val="28"/>
        </w:rPr>
        <w:t>ợ</w:t>
      </w:r>
      <w:r w:rsidRPr="00627880">
        <w:rPr>
          <w:rFonts w:eastAsia="Times New Roman" w:cs="Times New Roman"/>
          <w:szCs w:val="28"/>
          <w:lang w:val="vi-VN"/>
        </w:rPr>
        <w:t>p với việc đánh giá, công nhận Danh hiệu “Gia đình văn hóa”, “Thôn văn hóa”, “Làng v</w:t>
      </w:r>
      <w:r w:rsidRPr="00627880">
        <w:rPr>
          <w:rFonts w:eastAsia="Times New Roman" w:cs="Times New Roman"/>
          <w:szCs w:val="28"/>
        </w:rPr>
        <w:t>ă</w:t>
      </w:r>
      <w:r w:rsidRPr="00627880">
        <w:rPr>
          <w:rFonts w:eastAsia="Times New Roman" w:cs="Times New Roman"/>
          <w:szCs w:val="28"/>
          <w:lang w:val="vi-VN"/>
        </w:rPr>
        <w:t>n hóa”, “</w:t>
      </w:r>
      <w:r w:rsidRPr="00627880">
        <w:rPr>
          <w:rFonts w:eastAsia="Times New Roman" w:cs="Times New Roman"/>
          <w:szCs w:val="28"/>
        </w:rPr>
        <w:t>Ấ</w:t>
      </w:r>
      <w:r w:rsidRPr="00627880">
        <w:rPr>
          <w:rFonts w:eastAsia="Times New Roman" w:cs="Times New Roman"/>
          <w:szCs w:val="28"/>
          <w:lang w:val="vi-VN"/>
        </w:rPr>
        <w:t>p văn hóa”, “Bản văn hóa”, “Tổ dân phố văn hóa” và tương đương.</w:t>
      </w:r>
    </w:p>
    <w:p w:rsidR="00627880" w:rsidRPr="00627880" w:rsidRDefault="00627880" w:rsidP="00AB4B8D">
      <w:pPr>
        <w:shd w:val="clear" w:color="auto" w:fill="FFFFFF"/>
        <w:spacing w:before="120" w:after="120" w:line="380" w:lineRule="exact"/>
        <w:ind w:firstLine="720"/>
        <w:jc w:val="both"/>
        <w:rPr>
          <w:rFonts w:eastAsia="Times New Roman" w:cs="Times New Roman"/>
          <w:szCs w:val="28"/>
        </w:rPr>
      </w:pPr>
      <w:r w:rsidRPr="00627880">
        <w:rPr>
          <w:rFonts w:eastAsia="Times New Roman" w:cs="Times New Roman"/>
          <w:szCs w:val="28"/>
        </w:rPr>
        <w:t>5. </w:t>
      </w:r>
      <w:r w:rsidRPr="00627880">
        <w:rPr>
          <w:rFonts w:eastAsia="Times New Roman" w:cs="Times New Roman"/>
          <w:szCs w:val="28"/>
          <w:lang w:val="vi-VN"/>
        </w:rPr>
        <w:t>Bộ Tài chính bố trí nguồn kinh phí thường xuyên hằng năm để thực hiện Đề án theo quy định của pháp luật; chủ trì, phối hợp với Hội Khuyến học Việt nam và các Bộ; ngành liên quan hướng dẫn cơ chế quản lý tài chính, đầu tư đối với các hoạt động của Đề án; phối hợp kiểm tra, giám sát việc thực hiện Đề án.</w:t>
      </w:r>
    </w:p>
    <w:p w:rsidR="00627880" w:rsidRPr="00627880" w:rsidRDefault="00627880" w:rsidP="00AB4B8D">
      <w:pPr>
        <w:shd w:val="clear" w:color="auto" w:fill="FFFFFF"/>
        <w:spacing w:before="120" w:after="120" w:line="380" w:lineRule="exact"/>
        <w:ind w:firstLine="720"/>
        <w:jc w:val="both"/>
        <w:rPr>
          <w:rFonts w:eastAsia="Times New Roman" w:cs="Times New Roman"/>
          <w:szCs w:val="28"/>
        </w:rPr>
      </w:pPr>
      <w:r w:rsidRPr="00627880">
        <w:rPr>
          <w:rFonts w:eastAsia="Times New Roman" w:cs="Times New Roman"/>
          <w:szCs w:val="28"/>
        </w:rPr>
        <w:t>6. Ủ</w:t>
      </w:r>
      <w:r w:rsidRPr="00627880">
        <w:rPr>
          <w:rFonts w:eastAsia="Times New Roman" w:cs="Times New Roman"/>
          <w:szCs w:val="28"/>
          <w:lang w:val="vi-VN"/>
        </w:rPr>
        <w:t>y ban nhân dân các cấp:</w:t>
      </w:r>
    </w:p>
    <w:p w:rsidR="00627880" w:rsidRPr="00627880" w:rsidRDefault="00627880" w:rsidP="00AB4B8D">
      <w:pPr>
        <w:shd w:val="clear" w:color="auto" w:fill="FFFFFF"/>
        <w:spacing w:before="120" w:after="120" w:line="380" w:lineRule="exact"/>
        <w:ind w:firstLine="720"/>
        <w:jc w:val="both"/>
        <w:rPr>
          <w:rFonts w:eastAsia="Times New Roman" w:cs="Times New Roman"/>
          <w:szCs w:val="28"/>
        </w:rPr>
      </w:pPr>
      <w:r w:rsidRPr="00627880">
        <w:rPr>
          <w:rFonts w:eastAsia="Times New Roman" w:cs="Times New Roman"/>
          <w:szCs w:val="28"/>
        </w:rPr>
        <w:t>a) </w:t>
      </w:r>
      <w:r w:rsidRPr="00627880">
        <w:rPr>
          <w:rFonts w:eastAsia="Times New Roman" w:cs="Times New Roman"/>
          <w:szCs w:val="28"/>
          <w:lang w:val="vi-VN"/>
        </w:rPr>
        <w:t>Có trách nhiệm bố </w:t>
      </w:r>
      <w:r w:rsidRPr="00627880">
        <w:rPr>
          <w:rFonts w:eastAsia="Times New Roman" w:cs="Times New Roman"/>
          <w:szCs w:val="28"/>
        </w:rPr>
        <w:t>tr</w:t>
      </w:r>
      <w:r w:rsidRPr="00627880">
        <w:rPr>
          <w:rFonts w:eastAsia="Times New Roman" w:cs="Times New Roman"/>
          <w:szCs w:val="28"/>
          <w:lang w:val="vi-VN"/>
        </w:rPr>
        <w:t>í ngân sách để thực hiện các nhiệm vụ, mục tiêu của Đề án tại địa phương; chỉ đạo các ban, ngành, đoàn thể, tổ chức, doanh nghiệp ở địa phương phối hợp với Hội Khuyến học các cấp trong việc triển khai thực hiện Đề án;</w:t>
      </w:r>
    </w:p>
    <w:p w:rsidR="00627880" w:rsidRPr="00627880" w:rsidRDefault="00627880" w:rsidP="00AB4B8D">
      <w:pPr>
        <w:shd w:val="clear" w:color="auto" w:fill="FFFFFF"/>
        <w:spacing w:before="120" w:after="120" w:line="380" w:lineRule="exact"/>
        <w:ind w:firstLine="720"/>
        <w:jc w:val="both"/>
        <w:rPr>
          <w:rFonts w:eastAsia="Times New Roman" w:cs="Times New Roman"/>
          <w:szCs w:val="28"/>
        </w:rPr>
      </w:pPr>
      <w:r w:rsidRPr="00627880">
        <w:rPr>
          <w:rFonts w:eastAsia="Times New Roman" w:cs="Times New Roman"/>
          <w:szCs w:val="28"/>
        </w:rPr>
        <w:t>b) </w:t>
      </w:r>
      <w:r w:rsidRPr="00627880">
        <w:rPr>
          <w:rFonts w:eastAsia="Times New Roman" w:cs="Times New Roman"/>
          <w:szCs w:val="28"/>
          <w:lang w:val="vi-VN"/>
        </w:rPr>
        <w:t>Chỉ đạo các cơ quan phát thanh, truyền hình, báo của địa phương xây dựng chuyên mục tuyên truyền về xây dựng xã hội học tập trong đó có tuyên truyền về mô hình học tập suốt đời trong gia đình, dòng họ, cộng đồng;</w:t>
      </w:r>
    </w:p>
    <w:p w:rsidR="00627880" w:rsidRPr="00627880" w:rsidRDefault="00627880" w:rsidP="00AB4B8D">
      <w:pPr>
        <w:shd w:val="clear" w:color="auto" w:fill="FFFFFF"/>
        <w:spacing w:before="120" w:after="120" w:line="380" w:lineRule="exact"/>
        <w:ind w:firstLine="720"/>
        <w:jc w:val="both"/>
        <w:rPr>
          <w:rFonts w:eastAsia="Times New Roman" w:cs="Times New Roman"/>
          <w:szCs w:val="28"/>
        </w:rPr>
      </w:pPr>
      <w:r w:rsidRPr="00627880">
        <w:rPr>
          <w:rFonts w:eastAsia="Times New Roman" w:cs="Times New Roman"/>
          <w:szCs w:val="28"/>
        </w:rPr>
        <w:t>c) </w:t>
      </w:r>
      <w:r w:rsidRPr="00627880">
        <w:rPr>
          <w:rFonts w:eastAsia="Times New Roman" w:cs="Times New Roman"/>
          <w:szCs w:val="28"/>
          <w:lang w:val="vi-VN"/>
        </w:rPr>
        <w:t>Chủ tr</w:t>
      </w:r>
      <w:r w:rsidRPr="00627880">
        <w:rPr>
          <w:rFonts w:eastAsia="Times New Roman" w:cs="Times New Roman"/>
          <w:szCs w:val="28"/>
        </w:rPr>
        <w:t>ì</w:t>
      </w:r>
      <w:r w:rsidRPr="00627880">
        <w:rPr>
          <w:rFonts w:eastAsia="Times New Roman" w:cs="Times New Roman"/>
          <w:szCs w:val="28"/>
          <w:lang w:val="vi-VN"/>
        </w:rPr>
        <w:t>, phối hợp với Hội Khuyến học Việt Nam và Bộ Giáo dục và Đào tạo tổ chức công nhận Danh hiệu “Gia đình học tập”, “Dòng họ học tập”, “Cộng đồng học tập” và “Đơn vị học tập” ở địa phương mình.</w:t>
      </w:r>
    </w:p>
    <w:p w:rsidR="00627880" w:rsidRPr="00627880" w:rsidRDefault="00627880" w:rsidP="00AB4B8D">
      <w:pPr>
        <w:shd w:val="clear" w:color="auto" w:fill="FFFFFF"/>
        <w:spacing w:before="120" w:after="120" w:line="380" w:lineRule="exact"/>
        <w:ind w:firstLine="720"/>
        <w:jc w:val="both"/>
        <w:rPr>
          <w:rFonts w:eastAsia="Times New Roman" w:cs="Times New Roman"/>
          <w:szCs w:val="28"/>
        </w:rPr>
      </w:pPr>
      <w:r w:rsidRPr="00627880">
        <w:rPr>
          <w:rFonts w:eastAsia="Times New Roman" w:cs="Times New Roman"/>
          <w:szCs w:val="28"/>
        </w:rPr>
        <w:t>7. </w:t>
      </w:r>
      <w:r w:rsidRPr="00627880">
        <w:rPr>
          <w:rFonts w:eastAsia="Times New Roman" w:cs="Times New Roman"/>
          <w:szCs w:val="28"/>
          <w:lang w:val="vi-VN"/>
        </w:rPr>
        <w:t>Đề nghị các tổ chức chính trị - xã hội, tổ chức xã hội - nghề nghiệp:</w:t>
      </w:r>
    </w:p>
    <w:p w:rsidR="00627880" w:rsidRPr="00627880" w:rsidRDefault="00627880" w:rsidP="00AB4B8D">
      <w:pPr>
        <w:shd w:val="clear" w:color="auto" w:fill="FFFFFF"/>
        <w:spacing w:before="120" w:after="120" w:line="380" w:lineRule="exact"/>
        <w:ind w:firstLine="720"/>
        <w:jc w:val="both"/>
        <w:rPr>
          <w:rFonts w:eastAsia="Times New Roman" w:cs="Times New Roman"/>
          <w:szCs w:val="28"/>
        </w:rPr>
      </w:pPr>
      <w:r w:rsidRPr="00627880">
        <w:rPr>
          <w:rFonts w:eastAsia="Times New Roman" w:cs="Times New Roman"/>
          <w:szCs w:val="28"/>
          <w:lang w:val="vi-VN"/>
        </w:rPr>
        <w:t>Uỷ ban Trung ương Mặt trận Tổ quốc Việt Nam, Tổng liên đoàn Lao động Việt Nam, Trung ương Đoàn thanh niên Cộng sản Hồ Chí Minh, Hội Liên hiệp Phụ nữ Việt Nam, Hội Cựu giáo chức Việt Nam, Hội người Cao tuổi Việt Nam, Hội Cựu chiến binh Việt Nam, Hội Nông dân Việt Nam phối hợp với Hội Khuyến học Việt Nam đẩy mạnh tuyên truyền, vận động, tạo điều kiện cho cán bộ, công chức, viên chức, người lao động, hội viên thuộc cơ quan, tổ chức của mình được học thường xuyên, học suốt đời và tích cực tuyên truyền, vận động xây dựng gia đình, dòng họ, cộng đồng của mình đạt Danh hiệu “Gia đình học tập”, “Dòng họ học tập” và “Cộng đồng học tập</w:t>
      </w:r>
      <w:r w:rsidRPr="00627880">
        <w:rPr>
          <w:rFonts w:eastAsia="Times New Roman" w:cs="Times New Roman"/>
          <w:szCs w:val="28"/>
        </w:rPr>
        <w:t>”</w:t>
      </w:r>
      <w:r w:rsidRPr="00627880">
        <w:rPr>
          <w:rFonts w:eastAsia="Times New Roman" w:cs="Times New Roman"/>
          <w:szCs w:val="28"/>
          <w:lang w:val="vi-VN"/>
        </w:rPr>
        <w:t>.</w:t>
      </w:r>
    </w:p>
    <w:p w:rsidR="00627880" w:rsidRPr="00627880" w:rsidRDefault="00627880" w:rsidP="00AB4B8D">
      <w:pPr>
        <w:shd w:val="clear" w:color="auto" w:fill="FFFFFF"/>
        <w:spacing w:before="120" w:after="120" w:line="380" w:lineRule="exact"/>
        <w:ind w:firstLine="720"/>
        <w:jc w:val="both"/>
        <w:rPr>
          <w:rFonts w:eastAsia="Times New Roman" w:cs="Times New Roman"/>
          <w:szCs w:val="28"/>
        </w:rPr>
      </w:pPr>
      <w:r w:rsidRPr="00627880">
        <w:rPr>
          <w:rFonts w:eastAsia="Times New Roman" w:cs="Times New Roman"/>
          <w:b/>
          <w:bCs/>
          <w:szCs w:val="28"/>
          <w:lang w:val="vi-VN"/>
        </w:rPr>
        <w:t>Điều 2.</w:t>
      </w:r>
      <w:r w:rsidRPr="00627880">
        <w:rPr>
          <w:rFonts w:eastAsia="Times New Roman" w:cs="Times New Roman"/>
          <w:szCs w:val="28"/>
          <w:lang w:val="vi-VN"/>
        </w:rPr>
        <w:t> Quyết định này có hiệu lực thi hành kể từ ngày ký ban hành.</w:t>
      </w:r>
    </w:p>
    <w:p w:rsidR="008849BC" w:rsidRPr="00627880" w:rsidRDefault="00627880" w:rsidP="00AB4B8D">
      <w:pPr>
        <w:spacing w:before="120" w:after="120" w:line="380" w:lineRule="exact"/>
        <w:ind w:firstLine="720"/>
        <w:jc w:val="both"/>
        <w:rPr>
          <w:rFonts w:eastAsia="Times New Roman" w:cs="Times New Roman"/>
          <w:szCs w:val="28"/>
        </w:rPr>
      </w:pPr>
      <w:r w:rsidRPr="00627880">
        <w:rPr>
          <w:rFonts w:eastAsia="Times New Roman" w:cs="Times New Roman"/>
          <w:b/>
          <w:bCs/>
          <w:szCs w:val="28"/>
          <w:lang w:val="vi-VN"/>
        </w:rPr>
        <w:lastRenderedPageBreak/>
        <w:t>Điều 3.</w:t>
      </w:r>
      <w:r w:rsidRPr="00627880">
        <w:rPr>
          <w:rFonts w:eastAsia="Times New Roman" w:cs="Times New Roman"/>
          <w:szCs w:val="28"/>
          <w:lang w:val="vi-VN"/>
        </w:rPr>
        <w:t> Bộ trưởng, Thủ trưởng cơ quan ngang Bộ, Thủ trưởng cơ quan thuộc Chính phủ, Chủ tịch Ủy ban nhân dân tỉnh, thành</w:t>
      </w:r>
      <w:bookmarkStart w:id="0" w:name="_GoBack"/>
      <w:bookmarkEnd w:id="0"/>
      <w:r w:rsidRPr="00627880">
        <w:rPr>
          <w:rFonts w:eastAsia="Times New Roman" w:cs="Times New Roman"/>
          <w:szCs w:val="28"/>
          <w:lang w:val="vi-VN"/>
        </w:rPr>
        <w:t xml:space="preserve"> phố trực thuộc Trung ương và Chủ tịch Hội Khuyến học Việt Nam chịu trách nhiệm thi hành Quyết định này./.</w:t>
      </w:r>
    </w:p>
    <w:tbl>
      <w:tblPr>
        <w:tblStyle w:val="TableGrid"/>
        <w:tblpPr w:leftFromText="180" w:rightFromText="180" w:vertAnchor="text" w:horzAnchor="margin" w:tblpY="197"/>
        <w:tblOverlap w:val="never"/>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3686"/>
      </w:tblGrid>
      <w:tr w:rsidR="00627880" w:rsidTr="00627880">
        <w:tc>
          <w:tcPr>
            <w:tcW w:w="6345" w:type="dxa"/>
          </w:tcPr>
          <w:p w:rsidR="00627880" w:rsidRDefault="00627880" w:rsidP="00627880">
            <w:pPr>
              <w:rPr>
                <w:rFonts w:eastAsia="Times New Roman" w:cs="Times New Roman"/>
                <w:b/>
                <w:bCs/>
                <w:szCs w:val="28"/>
              </w:rPr>
            </w:pPr>
            <w:r w:rsidRPr="00BB05F7">
              <w:rPr>
                <w:rFonts w:eastAsia="Times New Roman" w:cs="Times New Roman"/>
                <w:b/>
                <w:bCs/>
                <w:i/>
                <w:iCs/>
                <w:sz w:val="24"/>
                <w:szCs w:val="24"/>
                <w:lang w:val="vi-VN"/>
              </w:rPr>
              <w:t>Nơi nhận:</w:t>
            </w:r>
            <w:r w:rsidRPr="00BB05F7">
              <w:rPr>
                <w:rFonts w:eastAsia="Times New Roman" w:cs="Times New Roman"/>
                <w:b/>
                <w:bCs/>
                <w:i/>
                <w:iCs/>
                <w:sz w:val="24"/>
                <w:szCs w:val="24"/>
                <w:lang w:val="vi-VN"/>
              </w:rPr>
              <w:br/>
            </w:r>
            <w:r w:rsidRPr="00BB05F7">
              <w:rPr>
                <w:rFonts w:eastAsia="Times New Roman" w:cs="Times New Roman"/>
                <w:sz w:val="24"/>
                <w:szCs w:val="24"/>
              </w:rPr>
              <w:t>- </w:t>
            </w:r>
            <w:r w:rsidRPr="00BB05F7">
              <w:rPr>
                <w:rFonts w:eastAsia="Times New Roman" w:cs="Times New Roman"/>
                <w:sz w:val="24"/>
                <w:szCs w:val="24"/>
                <w:lang w:val="vi-VN"/>
              </w:rPr>
              <w:t>Thủ t</w:t>
            </w:r>
            <w:r w:rsidRPr="00BB05F7">
              <w:rPr>
                <w:rFonts w:eastAsia="Times New Roman" w:cs="Times New Roman"/>
                <w:sz w:val="24"/>
                <w:szCs w:val="24"/>
              </w:rPr>
              <w:t>ướ</w:t>
            </w:r>
            <w:r w:rsidRPr="00BB05F7">
              <w:rPr>
                <w:rFonts w:eastAsia="Times New Roman" w:cs="Times New Roman"/>
                <w:sz w:val="24"/>
                <w:szCs w:val="24"/>
                <w:lang w:val="vi-VN"/>
              </w:rPr>
              <w:t>ng, các Phó Thủ tướng Chính phủ;</w:t>
            </w:r>
            <w:r w:rsidRPr="00BB05F7">
              <w:rPr>
                <w:rFonts w:eastAsia="Times New Roman" w:cs="Times New Roman"/>
                <w:sz w:val="24"/>
                <w:szCs w:val="24"/>
                <w:lang w:val="vi-VN"/>
              </w:rPr>
              <w:br/>
            </w:r>
            <w:r w:rsidRPr="00BB05F7">
              <w:rPr>
                <w:rFonts w:eastAsia="Times New Roman" w:cs="Times New Roman"/>
                <w:sz w:val="24"/>
                <w:szCs w:val="24"/>
              </w:rPr>
              <w:t>- </w:t>
            </w:r>
            <w:r w:rsidRPr="00BB05F7">
              <w:rPr>
                <w:rFonts w:eastAsia="Times New Roman" w:cs="Times New Roman"/>
                <w:sz w:val="24"/>
                <w:szCs w:val="24"/>
                <w:lang w:val="vi-VN"/>
              </w:rPr>
              <w:t>Các Bộ, cơ quan ngang Bộ, cơ quan thuộc Chính phủ;</w:t>
            </w:r>
            <w:r w:rsidRPr="00BB05F7">
              <w:rPr>
                <w:rFonts w:eastAsia="Times New Roman" w:cs="Times New Roman"/>
                <w:sz w:val="24"/>
                <w:szCs w:val="24"/>
                <w:lang w:val="vi-VN"/>
              </w:rPr>
              <w:br/>
            </w:r>
            <w:r w:rsidRPr="00BB05F7">
              <w:rPr>
                <w:rFonts w:eastAsia="Times New Roman" w:cs="Times New Roman"/>
                <w:sz w:val="24"/>
                <w:szCs w:val="24"/>
              </w:rPr>
              <w:t>- </w:t>
            </w:r>
            <w:r w:rsidRPr="00BB05F7">
              <w:rPr>
                <w:rFonts w:eastAsia="Times New Roman" w:cs="Times New Roman"/>
                <w:sz w:val="24"/>
                <w:szCs w:val="24"/>
                <w:lang w:val="vi-VN"/>
              </w:rPr>
              <w:t>UBND các tỉnh, thành phố trực thuộc Trung ương;</w:t>
            </w:r>
            <w:r w:rsidRPr="00BB05F7">
              <w:rPr>
                <w:rFonts w:eastAsia="Times New Roman" w:cs="Times New Roman"/>
                <w:sz w:val="24"/>
                <w:szCs w:val="24"/>
                <w:lang w:val="vi-VN"/>
              </w:rPr>
              <w:br/>
            </w:r>
            <w:r w:rsidRPr="00BB05F7">
              <w:rPr>
                <w:rFonts w:eastAsia="Times New Roman" w:cs="Times New Roman"/>
                <w:sz w:val="24"/>
                <w:szCs w:val="24"/>
              </w:rPr>
              <w:t>- </w:t>
            </w:r>
            <w:r w:rsidRPr="00BB05F7">
              <w:rPr>
                <w:rFonts w:eastAsia="Times New Roman" w:cs="Times New Roman"/>
                <w:sz w:val="24"/>
                <w:szCs w:val="24"/>
                <w:lang w:val="vi-VN"/>
              </w:rPr>
              <w:t>V</w:t>
            </w:r>
            <w:r w:rsidRPr="00BB05F7">
              <w:rPr>
                <w:rFonts w:eastAsia="Times New Roman" w:cs="Times New Roman"/>
                <w:sz w:val="24"/>
                <w:szCs w:val="24"/>
              </w:rPr>
              <w:t>ă</w:t>
            </w:r>
            <w:r w:rsidRPr="00BB05F7">
              <w:rPr>
                <w:rFonts w:eastAsia="Times New Roman" w:cs="Times New Roman"/>
                <w:sz w:val="24"/>
                <w:szCs w:val="24"/>
                <w:lang w:val="vi-VN"/>
              </w:rPr>
              <w:t>n phòng Trung ương Đ</w:t>
            </w:r>
            <w:r w:rsidRPr="00BB05F7">
              <w:rPr>
                <w:rFonts w:eastAsia="Times New Roman" w:cs="Times New Roman"/>
                <w:sz w:val="24"/>
                <w:szCs w:val="24"/>
              </w:rPr>
              <w:t>ả</w:t>
            </w:r>
            <w:r w:rsidRPr="00BB05F7">
              <w:rPr>
                <w:rFonts w:eastAsia="Times New Roman" w:cs="Times New Roman"/>
                <w:sz w:val="24"/>
                <w:szCs w:val="24"/>
                <w:lang w:val="vi-VN"/>
              </w:rPr>
              <w:t>ng;</w:t>
            </w:r>
            <w:r w:rsidRPr="00BB05F7">
              <w:rPr>
                <w:rFonts w:eastAsia="Times New Roman" w:cs="Times New Roman"/>
                <w:sz w:val="24"/>
                <w:szCs w:val="24"/>
                <w:lang w:val="vi-VN"/>
              </w:rPr>
              <w:br/>
            </w:r>
            <w:r w:rsidRPr="00BB05F7">
              <w:rPr>
                <w:rFonts w:eastAsia="Times New Roman" w:cs="Times New Roman"/>
                <w:sz w:val="24"/>
                <w:szCs w:val="24"/>
              </w:rPr>
              <w:t>- </w:t>
            </w:r>
            <w:r w:rsidRPr="00BB05F7">
              <w:rPr>
                <w:rFonts w:eastAsia="Times New Roman" w:cs="Times New Roman"/>
                <w:sz w:val="24"/>
                <w:szCs w:val="24"/>
                <w:lang w:val="vi-VN"/>
              </w:rPr>
              <w:t>Văn phòng Tổng Bí thư;</w:t>
            </w:r>
            <w:r w:rsidRPr="00BB05F7">
              <w:rPr>
                <w:rFonts w:eastAsia="Times New Roman" w:cs="Times New Roman"/>
                <w:sz w:val="24"/>
                <w:szCs w:val="24"/>
                <w:lang w:val="vi-VN"/>
              </w:rPr>
              <w:br/>
            </w:r>
            <w:r w:rsidRPr="00BB05F7">
              <w:rPr>
                <w:rFonts w:eastAsia="Times New Roman" w:cs="Times New Roman"/>
                <w:sz w:val="24"/>
                <w:szCs w:val="24"/>
              </w:rPr>
              <w:t>- </w:t>
            </w:r>
            <w:r w:rsidRPr="00BB05F7">
              <w:rPr>
                <w:rFonts w:eastAsia="Times New Roman" w:cs="Times New Roman"/>
                <w:sz w:val="24"/>
                <w:szCs w:val="24"/>
                <w:lang w:val="vi-VN"/>
              </w:rPr>
              <w:t>V</w:t>
            </w:r>
            <w:r w:rsidRPr="00BB05F7">
              <w:rPr>
                <w:rFonts w:eastAsia="Times New Roman" w:cs="Times New Roman"/>
                <w:sz w:val="24"/>
                <w:szCs w:val="24"/>
              </w:rPr>
              <w:t>ă</w:t>
            </w:r>
            <w:r w:rsidRPr="00BB05F7">
              <w:rPr>
                <w:rFonts w:eastAsia="Times New Roman" w:cs="Times New Roman"/>
                <w:sz w:val="24"/>
                <w:szCs w:val="24"/>
                <w:lang w:val="vi-VN"/>
              </w:rPr>
              <w:t>n phòng Chủ tịch nước;</w:t>
            </w:r>
            <w:r w:rsidRPr="00BB05F7">
              <w:rPr>
                <w:rFonts w:eastAsia="Times New Roman" w:cs="Times New Roman"/>
                <w:sz w:val="24"/>
                <w:szCs w:val="24"/>
                <w:lang w:val="vi-VN"/>
              </w:rPr>
              <w:br/>
            </w:r>
            <w:r w:rsidRPr="00BB05F7">
              <w:rPr>
                <w:rFonts w:eastAsia="Times New Roman" w:cs="Times New Roman"/>
                <w:sz w:val="24"/>
                <w:szCs w:val="24"/>
              </w:rPr>
              <w:t>- U</w:t>
            </w:r>
            <w:r w:rsidRPr="00BB05F7">
              <w:rPr>
                <w:rFonts w:eastAsia="Times New Roman" w:cs="Times New Roman"/>
                <w:sz w:val="24"/>
                <w:szCs w:val="24"/>
                <w:lang w:val="vi-VN"/>
              </w:rPr>
              <w:t>BTW Mặt trận Tổ quốc Việt Nam;</w:t>
            </w:r>
            <w:r w:rsidRPr="00BB05F7">
              <w:rPr>
                <w:rFonts w:eastAsia="Times New Roman" w:cs="Times New Roman"/>
                <w:sz w:val="24"/>
                <w:szCs w:val="24"/>
                <w:lang w:val="vi-VN"/>
              </w:rPr>
              <w:br/>
            </w:r>
            <w:r w:rsidRPr="00BB05F7">
              <w:rPr>
                <w:rFonts w:eastAsia="Times New Roman" w:cs="Times New Roman"/>
                <w:sz w:val="24"/>
                <w:szCs w:val="24"/>
              </w:rPr>
              <w:t>- </w:t>
            </w:r>
            <w:r w:rsidRPr="00BB05F7">
              <w:rPr>
                <w:rFonts w:eastAsia="Times New Roman" w:cs="Times New Roman"/>
                <w:sz w:val="24"/>
                <w:szCs w:val="24"/>
                <w:lang w:val="vi-VN"/>
              </w:rPr>
              <w:t>Cơ quan Trung ương của các đoàn thể;</w:t>
            </w:r>
            <w:r w:rsidRPr="00BB05F7">
              <w:rPr>
                <w:rFonts w:eastAsia="Times New Roman" w:cs="Times New Roman"/>
                <w:sz w:val="24"/>
                <w:szCs w:val="24"/>
                <w:lang w:val="vi-VN"/>
              </w:rPr>
              <w:br/>
            </w:r>
            <w:r w:rsidRPr="00BB05F7">
              <w:rPr>
                <w:rFonts w:eastAsia="Times New Roman" w:cs="Times New Roman"/>
                <w:sz w:val="24"/>
                <w:szCs w:val="24"/>
              </w:rPr>
              <w:t>- </w:t>
            </w:r>
            <w:r w:rsidRPr="00BB05F7">
              <w:rPr>
                <w:rFonts w:eastAsia="Times New Roman" w:cs="Times New Roman"/>
                <w:sz w:val="24"/>
                <w:szCs w:val="24"/>
                <w:lang w:val="vi-VN"/>
              </w:rPr>
              <w:t>Các Hội: Khuyến học Việt Nam, Cựu Giáo chức Việt Nam, Người cao tuổi Việt Nam,</w:t>
            </w:r>
            <w:r w:rsidRPr="00BB05F7">
              <w:rPr>
                <w:rFonts w:eastAsia="Times New Roman" w:cs="Times New Roman"/>
                <w:sz w:val="24"/>
                <w:szCs w:val="24"/>
                <w:lang w:val="vi-VN"/>
              </w:rPr>
              <w:br/>
            </w:r>
            <w:r w:rsidRPr="00BB05F7">
              <w:rPr>
                <w:rFonts w:eastAsia="Times New Roman" w:cs="Times New Roman"/>
                <w:sz w:val="24"/>
                <w:szCs w:val="24"/>
              </w:rPr>
              <w:t>- </w:t>
            </w:r>
            <w:r w:rsidRPr="00BB05F7">
              <w:rPr>
                <w:rFonts w:eastAsia="Times New Roman" w:cs="Times New Roman"/>
                <w:sz w:val="24"/>
                <w:szCs w:val="24"/>
                <w:lang w:val="vi-VN"/>
              </w:rPr>
              <w:t>VPCP: BTCN, các PCN, Trợ lý TTCP, TGĐ </w:t>
            </w:r>
            <w:r w:rsidRPr="00BB05F7">
              <w:rPr>
                <w:rFonts w:eastAsia="Times New Roman" w:cs="Times New Roman"/>
                <w:sz w:val="24"/>
                <w:szCs w:val="24"/>
              </w:rPr>
              <w:t>C</w:t>
            </w:r>
            <w:r w:rsidRPr="00BB05F7">
              <w:rPr>
                <w:rFonts w:eastAsia="Times New Roman" w:cs="Times New Roman"/>
                <w:sz w:val="24"/>
                <w:szCs w:val="24"/>
                <w:lang w:val="vi-VN"/>
              </w:rPr>
              <w:t>ổng TTĐT, các Vụ: KTTH, TKBT, TH, </w:t>
            </w:r>
            <w:r w:rsidRPr="00BB05F7">
              <w:rPr>
                <w:rFonts w:eastAsia="Times New Roman" w:cs="Times New Roman"/>
                <w:sz w:val="24"/>
                <w:szCs w:val="24"/>
              </w:rPr>
              <w:t>V.III</w:t>
            </w:r>
            <w:r w:rsidRPr="00BB05F7">
              <w:rPr>
                <w:rFonts w:eastAsia="Times New Roman" w:cs="Times New Roman"/>
                <w:sz w:val="24"/>
                <w:szCs w:val="24"/>
                <w:lang w:val="vi-VN"/>
              </w:rPr>
              <w:t>;</w:t>
            </w:r>
            <w:r w:rsidRPr="00BB05F7">
              <w:rPr>
                <w:rFonts w:eastAsia="Times New Roman" w:cs="Times New Roman"/>
                <w:sz w:val="24"/>
                <w:szCs w:val="24"/>
                <w:lang w:val="vi-VN"/>
              </w:rPr>
              <w:br/>
            </w:r>
            <w:r w:rsidRPr="00BB05F7">
              <w:rPr>
                <w:rFonts w:eastAsia="Times New Roman" w:cs="Times New Roman"/>
                <w:sz w:val="24"/>
                <w:szCs w:val="24"/>
              </w:rPr>
              <w:t>- </w:t>
            </w:r>
            <w:r w:rsidRPr="00BB05F7">
              <w:rPr>
                <w:rFonts w:eastAsia="Times New Roman" w:cs="Times New Roman"/>
                <w:sz w:val="24"/>
                <w:szCs w:val="24"/>
                <w:lang w:val="vi-VN"/>
              </w:rPr>
              <w:t>Lưu: VT, KGVX (03b)</w:t>
            </w:r>
          </w:p>
        </w:tc>
        <w:tc>
          <w:tcPr>
            <w:tcW w:w="3686" w:type="dxa"/>
          </w:tcPr>
          <w:p w:rsidR="00627880" w:rsidRDefault="00627880" w:rsidP="00627880">
            <w:pPr>
              <w:jc w:val="center"/>
              <w:rPr>
                <w:rFonts w:eastAsia="Times New Roman" w:cs="Times New Roman"/>
                <w:b/>
                <w:bCs/>
                <w:szCs w:val="28"/>
              </w:rPr>
            </w:pPr>
            <w:r w:rsidRPr="00BB05F7">
              <w:rPr>
                <w:rFonts w:eastAsia="Times New Roman" w:cs="Times New Roman"/>
                <w:b/>
                <w:bCs/>
                <w:szCs w:val="28"/>
              </w:rPr>
              <w:t>KT. THỦ TƯỚNG</w:t>
            </w:r>
            <w:r w:rsidRPr="00BB05F7">
              <w:rPr>
                <w:rFonts w:eastAsia="Times New Roman" w:cs="Times New Roman"/>
                <w:b/>
                <w:bCs/>
                <w:szCs w:val="28"/>
              </w:rPr>
              <w:br/>
              <w:t>PHÓ THỦ TƯỚNG</w:t>
            </w:r>
            <w:r w:rsidRPr="00BB05F7">
              <w:rPr>
                <w:rFonts w:eastAsia="Times New Roman" w:cs="Times New Roman"/>
                <w:b/>
                <w:bCs/>
                <w:szCs w:val="28"/>
              </w:rPr>
              <w:br/>
            </w:r>
            <w:r w:rsidRPr="00BB05F7">
              <w:rPr>
                <w:rFonts w:eastAsia="Times New Roman" w:cs="Times New Roman"/>
                <w:b/>
                <w:bCs/>
                <w:szCs w:val="28"/>
              </w:rPr>
              <w:br/>
            </w:r>
            <w:r w:rsidRPr="00BB05F7">
              <w:rPr>
                <w:rFonts w:eastAsia="Times New Roman" w:cs="Times New Roman"/>
                <w:b/>
                <w:bCs/>
                <w:szCs w:val="28"/>
              </w:rPr>
              <w:br/>
            </w:r>
            <w:r>
              <w:rPr>
                <w:rFonts w:eastAsia="Times New Roman" w:cs="Times New Roman"/>
                <w:b/>
                <w:bCs/>
                <w:szCs w:val="28"/>
              </w:rPr>
              <w:t>(đã ký)</w:t>
            </w:r>
            <w:r w:rsidRPr="00BB05F7">
              <w:rPr>
                <w:rFonts w:eastAsia="Times New Roman" w:cs="Times New Roman"/>
                <w:b/>
                <w:bCs/>
                <w:szCs w:val="28"/>
              </w:rPr>
              <w:br/>
            </w:r>
            <w:r w:rsidRPr="00BB05F7">
              <w:rPr>
                <w:rFonts w:eastAsia="Times New Roman" w:cs="Times New Roman"/>
                <w:b/>
                <w:bCs/>
                <w:szCs w:val="28"/>
              </w:rPr>
              <w:br/>
              <w:t>Vũ Đức Đam</w:t>
            </w:r>
          </w:p>
        </w:tc>
      </w:tr>
    </w:tbl>
    <w:p w:rsidR="00627880" w:rsidRPr="00627880" w:rsidRDefault="00627880" w:rsidP="00627880">
      <w:pPr>
        <w:ind w:firstLine="720"/>
        <w:jc w:val="both"/>
      </w:pPr>
    </w:p>
    <w:sectPr w:rsidR="00627880" w:rsidRPr="00627880" w:rsidSect="007B5F0F">
      <w:footerReference w:type="default" r:id="rId9"/>
      <w:pgSz w:w="12240" w:h="15840"/>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FFB" w:rsidRDefault="00436FFB" w:rsidP="00627880">
      <w:pPr>
        <w:spacing w:after="0" w:line="240" w:lineRule="auto"/>
      </w:pPr>
      <w:r>
        <w:separator/>
      </w:r>
    </w:p>
  </w:endnote>
  <w:endnote w:type="continuationSeparator" w:id="0">
    <w:p w:rsidR="00436FFB" w:rsidRDefault="00436FFB" w:rsidP="00627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7458420"/>
      <w:docPartObj>
        <w:docPartGallery w:val="Page Numbers (Bottom of Page)"/>
        <w:docPartUnique/>
      </w:docPartObj>
    </w:sdtPr>
    <w:sdtEndPr>
      <w:rPr>
        <w:noProof/>
      </w:rPr>
    </w:sdtEndPr>
    <w:sdtContent>
      <w:p w:rsidR="000E3F06" w:rsidRDefault="000E3F06">
        <w:pPr>
          <w:pStyle w:val="Footer"/>
          <w:jc w:val="center"/>
        </w:pPr>
        <w:r>
          <w:fldChar w:fldCharType="begin"/>
        </w:r>
        <w:r>
          <w:instrText xml:space="preserve"> PAGE   \* MERGEFORMAT </w:instrText>
        </w:r>
        <w:r>
          <w:fldChar w:fldCharType="separate"/>
        </w:r>
        <w:r w:rsidR="00AB4B8D">
          <w:rPr>
            <w:noProof/>
          </w:rPr>
          <w:t>6</w:t>
        </w:r>
        <w:r>
          <w:rPr>
            <w:noProof/>
          </w:rPr>
          <w:fldChar w:fldCharType="end"/>
        </w:r>
      </w:p>
    </w:sdtContent>
  </w:sdt>
  <w:p w:rsidR="000E3F06" w:rsidRDefault="000E3F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FFB" w:rsidRDefault="00436FFB" w:rsidP="00627880">
      <w:pPr>
        <w:spacing w:after="0" w:line="240" w:lineRule="auto"/>
      </w:pPr>
      <w:r>
        <w:separator/>
      </w:r>
    </w:p>
  </w:footnote>
  <w:footnote w:type="continuationSeparator" w:id="0">
    <w:p w:rsidR="00436FFB" w:rsidRDefault="00436FFB" w:rsidP="006278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880"/>
    <w:rsid w:val="000E3F06"/>
    <w:rsid w:val="0019304D"/>
    <w:rsid w:val="00436FFB"/>
    <w:rsid w:val="00627880"/>
    <w:rsid w:val="007B5F0F"/>
    <w:rsid w:val="008849BC"/>
    <w:rsid w:val="00AB4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880"/>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7880"/>
    <w:rPr>
      <w:rFonts w:ascii="Times New Roman" w:hAnsi="Times New Roman"/>
      <w:sz w:val="28"/>
    </w:rPr>
  </w:style>
  <w:style w:type="paragraph" w:styleId="Footer">
    <w:name w:val="footer"/>
    <w:basedOn w:val="Normal"/>
    <w:link w:val="FooterChar"/>
    <w:uiPriority w:val="99"/>
    <w:unhideWhenUsed/>
    <w:rsid w:val="00627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7880"/>
    <w:rPr>
      <w:rFonts w:ascii="Times New Roman" w:hAnsi="Times New Roman"/>
      <w:sz w:val="28"/>
    </w:rPr>
  </w:style>
  <w:style w:type="table" w:styleId="TableGrid">
    <w:name w:val="Table Grid"/>
    <w:basedOn w:val="TableNormal"/>
    <w:uiPriority w:val="59"/>
    <w:rsid w:val="00627880"/>
    <w:pPr>
      <w:spacing w:after="0" w:line="240" w:lineRule="auto"/>
    </w:pPr>
    <w:rPr>
      <w:rFonts w:ascii="Times New Roman" w:hAnsi="Times New Roman"/>
      <w:sz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880"/>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7880"/>
    <w:rPr>
      <w:rFonts w:ascii="Times New Roman" w:hAnsi="Times New Roman"/>
      <w:sz w:val="28"/>
    </w:rPr>
  </w:style>
  <w:style w:type="paragraph" w:styleId="Footer">
    <w:name w:val="footer"/>
    <w:basedOn w:val="Normal"/>
    <w:link w:val="FooterChar"/>
    <w:uiPriority w:val="99"/>
    <w:unhideWhenUsed/>
    <w:rsid w:val="00627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7880"/>
    <w:rPr>
      <w:rFonts w:ascii="Times New Roman" w:hAnsi="Times New Roman"/>
      <w:sz w:val="28"/>
    </w:rPr>
  </w:style>
  <w:style w:type="table" w:styleId="TableGrid">
    <w:name w:val="Table Grid"/>
    <w:basedOn w:val="TableNormal"/>
    <w:uiPriority w:val="59"/>
    <w:rsid w:val="00627880"/>
    <w:pPr>
      <w:spacing w:after="0" w:line="240" w:lineRule="auto"/>
    </w:pPr>
    <w:rPr>
      <w:rFonts w:ascii="Times New Roman" w:hAnsi="Times New Roman"/>
      <w:sz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89/Q%C4%90-TTg&amp;area=2&amp;type=0&amp;match=False&amp;vc=True&amp;lan=1"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thuvienphapluat.vn/phap-luat/tim-van-ban.aspx?keyword=89/Q%C4%90-TTg&amp;area=2&amp;type=0&amp;match=False&amp;vc=True&amp;lan=1" TargetMode="Externa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24E25A-5283-4AC6-AE6B-98F55D34A2E3}"/>
</file>

<file path=customXml/itemProps2.xml><?xml version="1.0" encoding="utf-8"?>
<ds:datastoreItem xmlns:ds="http://schemas.openxmlformats.org/officeDocument/2006/customXml" ds:itemID="{10AC7D49-B911-4270-B458-35C08764086A}"/>
</file>

<file path=customXml/itemProps3.xml><?xml version="1.0" encoding="utf-8"?>
<ds:datastoreItem xmlns:ds="http://schemas.openxmlformats.org/officeDocument/2006/customXml" ds:itemID="{B9C70FA3-3971-4D2B-87B1-EB136E9465A4}"/>
</file>

<file path=docProps/app.xml><?xml version="1.0" encoding="utf-8"?>
<Properties xmlns="http://schemas.openxmlformats.org/officeDocument/2006/extended-properties" xmlns:vt="http://schemas.openxmlformats.org/officeDocument/2006/docPropsVTypes">
  <Template>Normal</Template>
  <TotalTime>8</TotalTime>
  <Pages>6</Pages>
  <Words>1566</Words>
  <Characters>8932</Characters>
  <Application>Microsoft Office Word</Application>
  <DocSecurity>0</DocSecurity>
  <Lines>74</Lines>
  <Paragraphs>20</Paragraphs>
  <ScaleCrop>false</ScaleCrop>
  <Company/>
  <LinksUpToDate>false</LinksUpToDate>
  <CharactersWithSpaces>10478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c:creator>
  <cp:lastModifiedBy>Ha</cp:lastModifiedBy>
  <cp:revision>4</cp:revision>
  <dcterms:created xsi:type="dcterms:W3CDTF">2017-08-11T03:54:00Z</dcterms:created>
  <dcterms:modified xsi:type="dcterms:W3CDTF">2017-08-11T04:06:00Z</dcterms:modified>
</cp:coreProperties>
</file>